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A1A2F" w14:textId="77777777" w:rsidR="00BB77B9" w:rsidRDefault="00BB77B9" w:rsidP="00BB77B9">
      <w:pPr>
        <w:suppressLineNumbers/>
        <w:jc w:val="center"/>
        <w:rPr>
          <w:rFonts w:ascii="Times New Roman" w:hAnsi="Times New Roman" w:cs="Times New Roman"/>
          <w:b/>
          <w:bCs/>
          <w:sz w:val="24"/>
          <w:szCs w:val="24"/>
        </w:rPr>
      </w:pPr>
      <w:bookmarkStart w:id="0" w:name="_Hlk56711794"/>
      <w:bookmarkStart w:id="1" w:name="_Hlk56720763"/>
      <w:r w:rsidRPr="00D76451">
        <w:rPr>
          <w:rFonts w:ascii="Times New Roman" w:hAnsi="Times New Roman" w:cs="Times New Roman"/>
          <w:b/>
          <w:bCs/>
          <w:sz w:val="24"/>
          <w:szCs w:val="24"/>
        </w:rPr>
        <w:t>Effects of Online Physical Activity Intervention &amp; Health Education on Mental Health and Cognition in Sedentary Young Females</w:t>
      </w:r>
    </w:p>
    <w:bookmarkEnd w:id="0"/>
    <w:p w14:paraId="276B80A6" w14:textId="77777777" w:rsidR="00BB77B9" w:rsidRDefault="00BB77B9" w:rsidP="00BB77B9">
      <w:pPr>
        <w:suppressLineNumbers/>
        <w:jc w:val="center"/>
        <w:rPr>
          <w:rFonts w:ascii="Times New Roman" w:hAnsi="Times New Roman" w:cs="Times New Roman"/>
        </w:rPr>
      </w:pPr>
    </w:p>
    <w:p w14:paraId="623338A5" w14:textId="77777777" w:rsidR="00BB77B9" w:rsidRPr="003170B6" w:rsidRDefault="00BB77B9" w:rsidP="00BB77B9">
      <w:pPr>
        <w:suppressLineNumbers/>
        <w:jc w:val="center"/>
        <w:rPr>
          <w:rFonts w:ascii="Times New Roman" w:hAnsi="Times New Roman" w:cs="Times New Roman"/>
        </w:rPr>
      </w:pPr>
      <w:r>
        <w:rPr>
          <w:rFonts w:ascii="Times New Roman" w:hAnsi="Times New Roman" w:cs="Times New Roman" w:hint="eastAsia"/>
        </w:rPr>
        <w:t>Y</w:t>
      </w:r>
      <w:r>
        <w:rPr>
          <w:rFonts w:ascii="Times New Roman" w:hAnsi="Times New Roman" w:cs="Times New Roman"/>
        </w:rPr>
        <w:t>ao Zhang</w:t>
      </w:r>
      <w:r>
        <w:rPr>
          <w:rFonts w:ascii="Times New Roman" w:hAnsi="Times New Roman" w:cs="Times New Roman"/>
          <w:vertAlign w:val="superscript"/>
        </w:rPr>
        <w:t>1</w:t>
      </w:r>
      <w:r>
        <w:rPr>
          <w:rFonts w:ascii="Times New Roman" w:hAnsi="Times New Roman" w:cs="Times New Roman"/>
        </w:rPr>
        <w:t xml:space="preserve">, </w:t>
      </w:r>
      <w:proofErr w:type="spellStart"/>
      <w:r>
        <w:rPr>
          <w:rFonts w:ascii="Times New Roman" w:hAnsi="Times New Roman" w:cs="Times New Roman"/>
        </w:rPr>
        <w:t>Beier</w:t>
      </w:r>
      <w:proofErr w:type="spellEnd"/>
      <w:r>
        <w:rPr>
          <w:rFonts w:ascii="Times New Roman" w:hAnsi="Times New Roman" w:cs="Times New Roman"/>
        </w:rPr>
        <w:t xml:space="preserve"> Zhang</w:t>
      </w:r>
      <w:r>
        <w:rPr>
          <w:rFonts w:ascii="Times New Roman" w:hAnsi="Times New Roman" w:cs="Times New Roman"/>
          <w:vertAlign w:val="superscript"/>
        </w:rPr>
        <w:t>1</w:t>
      </w:r>
      <w:r>
        <w:rPr>
          <w:rFonts w:ascii="Times New Roman" w:hAnsi="Times New Roman" w:cs="Times New Roman"/>
        </w:rPr>
        <w:t xml:space="preserve">, </w:t>
      </w:r>
      <w:proofErr w:type="spellStart"/>
      <w:r>
        <w:rPr>
          <w:rFonts w:ascii="Times New Roman" w:hAnsi="Times New Roman" w:cs="Times New Roman"/>
        </w:rPr>
        <w:t>Liaoyan</w:t>
      </w:r>
      <w:proofErr w:type="spellEnd"/>
      <w:r>
        <w:rPr>
          <w:rFonts w:ascii="Times New Roman" w:hAnsi="Times New Roman" w:cs="Times New Roman"/>
        </w:rPr>
        <w:t xml:space="preserve"> Gan</w:t>
      </w:r>
      <w:r>
        <w:rPr>
          <w:rFonts w:ascii="Times New Roman" w:hAnsi="Times New Roman" w:cs="Times New Roman"/>
          <w:vertAlign w:val="superscript"/>
        </w:rPr>
        <w:t>2</w:t>
      </w:r>
      <w:r>
        <w:rPr>
          <w:rFonts w:ascii="Times New Roman" w:hAnsi="Times New Roman" w:cs="Times New Roman"/>
        </w:rPr>
        <w:t>, Limei Ke</w:t>
      </w:r>
      <w:r w:rsidRPr="00D2791E">
        <w:rPr>
          <w:rFonts w:ascii="Times New Roman" w:hAnsi="Times New Roman" w:cs="Times New Roman"/>
          <w:vertAlign w:val="superscript"/>
        </w:rPr>
        <w:t>3</w:t>
      </w:r>
      <w:r>
        <w:rPr>
          <w:rFonts w:ascii="Times New Roman" w:hAnsi="Times New Roman" w:cs="Times New Roman"/>
        </w:rPr>
        <w:t xml:space="preserve">, </w:t>
      </w:r>
      <w:proofErr w:type="spellStart"/>
      <w:r>
        <w:rPr>
          <w:rFonts w:ascii="Times New Roman" w:hAnsi="Times New Roman" w:cs="Times New Roman"/>
        </w:rPr>
        <w:t>Yingyao</w:t>
      </w:r>
      <w:proofErr w:type="spellEnd"/>
      <w:r>
        <w:rPr>
          <w:rFonts w:ascii="Times New Roman" w:hAnsi="Times New Roman" w:cs="Times New Roman"/>
        </w:rPr>
        <w:t xml:space="preserve"> Fu</w:t>
      </w:r>
      <w:r>
        <w:rPr>
          <w:rFonts w:ascii="Times New Roman" w:hAnsi="Times New Roman" w:cs="Times New Roman"/>
          <w:vertAlign w:val="superscript"/>
        </w:rPr>
        <w:t>1</w:t>
      </w:r>
      <w:r>
        <w:rPr>
          <w:rFonts w:ascii="Times New Roman" w:hAnsi="Times New Roman" w:cs="Times New Roman"/>
        </w:rPr>
        <w:t>, Qian Di</w:t>
      </w:r>
      <w:r>
        <w:rPr>
          <w:rFonts w:ascii="Times New Roman" w:hAnsi="Times New Roman" w:cs="Times New Roman"/>
          <w:vertAlign w:val="superscript"/>
        </w:rPr>
        <w:t>4</w:t>
      </w:r>
      <w:r>
        <w:rPr>
          <w:rFonts w:ascii="Times New Roman" w:hAnsi="Times New Roman" w:cs="Times New Roman"/>
        </w:rPr>
        <w:t xml:space="preserve">, </w:t>
      </w:r>
      <w:proofErr w:type="spellStart"/>
      <w:r>
        <w:rPr>
          <w:rFonts w:ascii="Times New Roman" w:hAnsi="Times New Roman" w:cs="Times New Roman"/>
        </w:rPr>
        <w:t>Xindong</w:t>
      </w:r>
      <w:proofErr w:type="spellEnd"/>
      <w:r>
        <w:rPr>
          <w:rFonts w:ascii="Times New Roman" w:hAnsi="Times New Roman" w:cs="Times New Roman"/>
        </w:rPr>
        <w:t xml:space="preserve"> Ma</w:t>
      </w:r>
      <w:r>
        <w:rPr>
          <w:rFonts w:ascii="Times New Roman" w:hAnsi="Times New Roman" w:cs="Times New Roman"/>
          <w:vertAlign w:val="superscript"/>
        </w:rPr>
        <w:t xml:space="preserve">1, </w:t>
      </w:r>
      <w:r>
        <w:rPr>
          <w:rFonts w:ascii="Times New Roman" w:hAnsi="Times New Roman" w:cs="Times New Roman" w:hint="eastAsia"/>
        </w:rPr>
        <w:t>*</w:t>
      </w:r>
    </w:p>
    <w:p w14:paraId="6210F1B3" w14:textId="77777777" w:rsidR="00BB77B9" w:rsidRPr="003170B6" w:rsidRDefault="00BB77B9" w:rsidP="00BB77B9">
      <w:pPr>
        <w:suppressLineNumbers/>
        <w:rPr>
          <w:rFonts w:ascii="Times New Roman" w:hAnsi="Times New Roman" w:cs="Times New Roman"/>
        </w:rPr>
      </w:pPr>
    </w:p>
    <w:p w14:paraId="3F153F1D" w14:textId="77777777" w:rsidR="00BB77B9" w:rsidRPr="006B1656" w:rsidRDefault="00BB77B9" w:rsidP="00BB77B9">
      <w:pPr>
        <w:suppressLineNumbers/>
        <w:jc w:val="left"/>
        <w:rPr>
          <w:rFonts w:ascii="Times New Roman" w:hAnsi="Times New Roman" w:cs="Times New Roman"/>
          <w:i/>
          <w:iCs/>
        </w:rPr>
      </w:pPr>
      <w:r w:rsidRPr="006B1656">
        <w:rPr>
          <w:rFonts w:ascii="Times New Roman" w:hAnsi="Times New Roman" w:cs="Times New Roman"/>
          <w:i/>
          <w:iCs/>
        </w:rPr>
        <w:t xml:space="preserve">1. Division of Sports Science &amp; Physical Education, Tsinghua University, Beijing 10084, China; </w:t>
      </w:r>
      <w:hyperlink r:id="rId7" w:history="1">
        <w:r w:rsidRPr="006B1656">
          <w:rPr>
            <w:rStyle w:val="a4"/>
            <w:rFonts w:ascii="Times New Roman" w:hAnsi="Times New Roman" w:cs="Times New Roman"/>
            <w:i/>
            <w:iCs/>
          </w:rPr>
          <w:t>yao-zhan19@mails.tsinghua.edu.cn</w:t>
        </w:r>
      </w:hyperlink>
      <w:r w:rsidRPr="006B1656">
        <w:rPr>
          <w:rFonts w:ascii="Times New Roman" w:hAnsi="Times New Roman" w:cs="Times New Roman"/>
          <w:i/>
          <w:iCs/>
        </w:rPr>
        <w:t xml:space="preserve"> (Y.Z.);</w:t>
      </w:r>
      <w:r w:rsidRPr="006B1656">
        <w:rPr>
          <w:i/>
          <w:iCs/>
        </w:rPr>
        <w:t xml:space="preserve"> </w:t>
      </w:r>
      <w:hyperlink r:id="rId8" w:history="1">
        <w:r w:rsidRPr="006B1656">
          <w:rPr>
            <w:rStyle w:val="a4"/>
            <w:rFonts w:ascii="Times New Roman" w:hAnsi="Times New Roman" w:cs="Times New Roman"/>
            <w:i/>
            <w:iCs/>
          </w:rPr>
          <w:t>zbe19@mails.tsinghua.edu.cn</w:t>
        </w:r>
      </w:hyperlink>
      <w:r w:rsidRPr="006B1656">
        <w:rPr>
          <w:rFonts w:ascii="Times New Roman" w:hAnsi="Times New Roman" w:cs="Times New Roman"/>
          <w:i/>
          <w:iCs/>
        </w:rPr>
        <w:t xml:space="preserve"> (B.Z.); </w:t>
      </w:r>
      <w:hyperlink r:id="rId9" w:history="1">
        <w:r w:rsidRPr="006B1656">
          <w:rPr>
            <w:rStyle w:val="a4"/>
            <w:rFonts w:ascii="Times New Roman" w:hAnsi="Times New Roman" w:cs="Times New Roman"/>
            <w:i/>
            <w:iCs/>
          </w:rPr>
          <w:t>fyy19@mails.tsinghua.edu.cn</w:t>
        </w:r>
      </w:hyperlink>
      <w:r w:rsidRPr="006B1656">
        <w:rPr>
          <w:rFonts w:ascii="Times New Roman" w:hAnsi="Times New Roman" w:cs="Times New Roman"/>
          <w:i/>
          <w:iCs/>
        </w:rPr>
        <w:t xml:space="preserve"> (Y.F.); </w:t>
      </w:r>
      <w:hyperlink r:id="rId10" w:history="1">
        <w:r w:rsidRPr="006B1656">
          <w:rPr>
            <w:rStyle w:val="a4"/>
            <w:rFonts w:ascii="Times New Roman" w:hAnsi="Times New Roman" w:cs="Times New Roman"/>
            <w:i/>
            <w:iCs/>
          </w:rPr>
          <w:t>maxd@tsinghua.edu.cn</w:t>
        </w:r>
      </w:hyperlink>
      <w:r w:rsidRPr="006B1656">
        <w:rPr>
          <w:rFonts w:ascii="Times New Roman" w:hAnsi="Times New Roman" w:cs="Times New Roman"/>
          <w:i/>
          <w:iCs/>
        </w:rPr>
        <w:t xml:space="preserve"> (X.M.)</w:t>
      </w:r>
      <w:r>
        <w:rPr>
          <w:rFonts w:ascii="Times New Roman" w:hAnsi="Times New Roman" w:cs="Times New Roman"/>
          <w:i/>
          <w:iCs/>
        </w:rPr>
        <w:t xml:space="preserve">; </w:t>
      </w:r>
      <w:r w:rsidRPr="006B1656">
        <w:rPr>
          <w:rFonts w:ascii="Times New Roman" w:hAnsi="Times New Roman" w:cs="Times New Roman"/>
          <w:i/>
          <w:iCs/>
        </w:rPr>
        <w:t>2. Faculty of Kinesiology, Sport, and Recreation, University of Alberta, Edmonton, T6G 2</w:t>
      </w:r>
      <w:r w:rsidRPr="006B1656">
        <w:rPr>
          <w:rFonts w:ascii="Times New Roman" w:hAnsi="Times New Roman" w:cs="Times New Roman" w:hint="eastAsia"/>
          <w:i/>
          <w:iCs/>
        </w:rPr>
        <w:t>H</w:t>
      </w:r>
      <w:r w:rsidRPr="006B1656">
        <w:rPr>
          <w:rFonts w:ascii="Times New Roman" w:hAnsi="Times New Roman" w:cs="Times New Roman"/>
          <w:i/>
          <w:iCs/>
        </w:rPr>
        <w:t xml:space="preserve">9, </w:t>
      </w:r>
      <w:r w:rsidRPr="006B1656">
        <w:rPr>
          <w:rFonts w:ascii="Times New Roman" w:hAnsi="Times New Roman" w:cs="Times New Roman" w:hint="eastAsia"/>
          <w:i/>
          <w:iCs/>
        </w:rPr>
        <w:t>Canada;</w:t>
      </w:r>
      <w:r w:rsidRPr="006B1656">
        <w:rPr>
          <w:rFonts w:ascii="Times New Roman" w:hAnsi="Times New Roman" w:cs="Times New Roman"/>
          <w:i/>
          <w:iCs/>
        </w:rPr>
        <w:t xml:space="preserve"> </w:t>
      </w:r>
      <w:hyperlink r:id="rId11" w:history="1">
        <w:r w:rsidRPr="006B1656">
          <w:rPr>
            <w:rStyle w:val="a4"/>
            <w:rFonts w:ascii="Times New Roman" w:hAnsi="Times New Roman" w:cs="Times New Roman"/>
            <w:i/>
            <w:iCs/>
          </w:rPr>
          <w:t>gan@ualberta.ca</w:t>
        </w:r>
      </w:hyperlink>
      <w:r w:rsidRPr="006B1656">
        <w:rPr>
          <w:rFonts w:ascii="Times New Roman" w:hAnsi="Times New Roman" w:cs="Times New Roman"/>
          <w:i/>
          <w:iCs/>
        </w:rPr>
        <w:t xml:space="preserve"> (L.G.); </w:t>
      </w:r>
      <w:r w:rsidRPr="006B1656">
        <w:rPr>
          <w:rFonts w:ascii="Times New Roman" w:hAnsi="Times New Roman" w:cs="Times New Roman" w:hint="eastAsia"/>
          <w:i/>
          <w:iCs/>
        </w:rPr>
        <w:t>3</w:t>
      </w:r>
      <w:r w:rsidRPr="006B1656">
        <w:rPr>
          <w:rFonts w:ascii="Times New Roman" w:hAnsi="Times New Roman" w:cs="Times New Roman"/>
          <w:i/>
          <w:iCs/>
        </w:rPr>
        <w:t xml:space="preserve">. School of Medicine, Tsinghua University, Beijing 10084, China; </w:t>
      </w:r>
      <w:hyperlink r:id="rId12" w:history="1">
        <w:r w:rsidRPr="006B1656">
          <w:rPr>
            <w:rStyle w:val="a4"/>
            <w:rFonts w:ascii="Times New Roman" w:hAnsi="Times New Roman" w:cs="Times New Roman"/>
            <w:i/>
            <w:iCs/>
          </w:rPr>
          <w:t>klm20@mails.tsinghua.edu.cn</w:t>
        </w:r>
      </w:hyperlink>
      <w:r w:rsidRPr="006B1656">
        <w:rPr>
          <w:rFonts w:ascii="Times New Roman" w:hAnsi="Times New Roman" w:cs="Times New Roman"/>
          <w:i/>
          <w:iCs/>
        </w:rPr>
        <w:t xml:space="preserve"> (L.K.); 4. Vanke School of Public Health, Tsinghua University, Beijing 100084, China; </w:t>
      </w:r>
      <w:hyperlink r:id="rId13" w:history="1">
        <w:r w:rsidRPr="006B1656">
          <w:rPr>
            <w:rStyle w:val="a4"/>
            <w:rFonts w:ascii="Times New Roman" w:hAnsi="Times New Roman" w:cs="Times New Roman"/>
            <w:i/>
            <w:iCs/>
          </w:rPr>
          <w:t>qiandi@tsinghua.edu.cn</w:t>
        </w:r>
      </w:hyperlink>
      <w:r w:rsidRPr="006B1656">
        <w:rPr>
          <w:rFonts w:ascii="Times New Roman" w:hAnsi="Times New Roman" w:cs="Times New Roman"/>
          <w:i/>
          <w:iCs/>
        </w:rPr>
        <w:t xml:space="preserve"> (Q.D.)</w:t>
      </w:r>
    </w:p>
    <w:p w14:paraId="2D230245" w14:textId="77777777" w:rsidR="00BB77B9" w:rsidRDefault="00BB77B9" w:rsidP="00BB77B9">
      <w:pPr>
        <w:suppressLineNumbers/>
        <w:jc w:val="left"/>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 xml:space="preserve">Corresponding author: </w:t>
      </w:r>
      <w:proofErr w:type="spellStart"/>
      <w:r>
        <w:rPr>
          <w:rFonts w:ascii="Times New Roman" w:hAnsi="Times New Roman" w:cs="Times New Roman"/>
        </w:rPr>
        <w:t>Xindong</w:t>
      </w:r>
      <w:proofErr w:type="spellEnd"/>
      <w:r>
        <w:rPr>
          <w:rFonts w:ascii="Times New Roman" w:hAnsi="Times New Roman" w:cs="Times New Roman"/>
        </w:rPr>
        <w:t xml:space="preserve"> Ma</w:t>
      </w:r>
      <w:r>
        <w:t xml:space="preserve">; </w:t>
      </w:r>
      <w:hyperlink r:id="rId14" w:history="1">
        <w:r w:rsidRPr="003170B6">
          <w:rPr>
            <w:rStyle w:val="a4"/>
            <w:rFonts w:ascii="Times New Roman" w:hAnsi="Times New Roman" w:cs="Times New Roman"/>
          </w:rPr>
          <w:t>maxd@tsinghua.edu.cn</w:t>
        </w:r>
      </w:hyperlink>
      <w:r w:rsidRPr="003170B6">
        <w:rPr>
          <w:rStyle w:val="a4"/>
          <w:rFonts w:ascii="Times New Roman" w:hAnsi="Times New Roman" w:cs="Times New Roman"/>
        </w:rPr>
        <w:t>; Tel: +86-</w:t>
      </w:r>
      <w:r>
        <w:rPr>
          <w:rStyle w:val="a4"/>
          <w:rFonts w:ascii="Times New Roman" w:hAnsi="Times New Roman" w:cs="Times New Roman"/>
        </w:rPr>
        <w:t>010-13501288851.</w:t>
      </w:r>
    </w:p>
    <w:bookmarkEnd w:id="1"/>
    <w:p w14:paraId="767358A9" w14:textId="2502D5D3" w:rsidR="00C4744C" w:rsidRPr="00BB77B9" w:rsidRDefault="00C4744C" w:rsidP="00C12547">
      <w:pPr>
        <w:suppressLineNumbers/>
        <w:rPr>
          <w:rFonts w:ascii="Times New Roman" w:hAnsi="Times New Roman" w:cs="Times New Roman"/>
        </w:rPr>
      </w:pPr>
    </w:p>
    <w:p w14:paraId="3DD11B9E" w14:textId="2A47DA29"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 Instruments</w:t>
      </w:r>
    </w:p>
    <w:p w14:paraId="13027030" w14:textId="28F2FFB9" w:rsidR="00F40A0D" w:rsidRPr="00D606A7" w:rsidRDefault="00F40A0D"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We used online structural questionnaires to obtain information on demography, physical activity, sedentary behavior, anxiety and stress emotions in pre-, mid- and post-test, which were two days before, mid-term of and immediate two days after the intervention project, respectively. Cognitive functions were assessed at pre- and post-test with a valid cognition test platform targeting at adults, with five computer-administered primary cognitive ability tests, i.e. processing speed, working memory, episodic memory, visual-spatial ability and verbal ability test. Each cognitive task’s score was normalized to a scale of 0-19 points calculated on the basis of 100,000-subject test results. Higher score indicated better cognitive function. The global cognitive function was the sum score of five cognitive tests, ranging from 0 to 95 scores. Participants in this study were asked to complete cognitive tasks in a quiet self-contained room between 2 and 5 p.m. each time. It took them around 30 minutes to complete five cognitive tasks. Details of measurements are described in supplementary.</w:t>
      </w:r>
    </w:p>
    <w:p w14:paraId="5EA8EBCA" w14:textId="0089C193"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2.4.1 Physical Activity and Sedentary Behavior</w:t>
      </w:r>
    </w:p>
    <w:p w14:paraId="116A91B5" w14:textId="0098C36A" w:rsidR="00EA4465" w:rsidRPr="00D606A7" w:rsidRDefault="00EA4465"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Physical activity and sedentary behavior were measured via the short version of the International Physical Activity Questionnaire (IPAQ-S) which is widely used in different countries for people aged between 15 and 69 years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9ck4smcR","properties":{"formattedCitation":"(1)","plainCitation":"(1)","noteIndex":0},"citationItems":[{"id":303,"uris":["http://zotero.org/users/6436273/items/P3YF7LHY"],"uri":["http://zotero.org/users/6436273/items/P3YF7LHY"],"itemData":{"id":303,"type":"article-journal","container-title":"Medicine &amp; Science in Sports &amp; Exercise","DOI":"10.1249/01.MSS.0000078924.61453.FB","ISSN":"0195-9131","issue":"8","journalAbbreviation":"Medicine &amp; Science in Sports &amp; Exercise","language":"en","page":"1381-1395","source":"DOI.org (Crossref)","title":"International Physical Activity Questionnaire: 12-Country Reliability and Validity:","title-short":"International Physical Activity Questionnaire","volume":"35","author":[{"family":"Craig","given":"Cora L."},{"family":"Marshall","given":"Alison L."},{"family":"Sj??Str??M","given":"Michael"},{"family":"Bauman","given":"Adrian E."},{"family":"Booth","given":"Michael L."},{"family":"Ainsworth","given":"Barbara E."},{"family":"Pratt","given":"Michael"},{"family":"Ekelund","given":"Ulf"},{"family":"Yngve","given":"Agneta"},{"family":"Sallis","given":"James F."},{"family":"Oja","given":"Pekka"}],"issued":{"date-parts":[["2003",8]]}}}],"schema":"https://github.com/citation-style-language/schema/raw/master/csl-citation.json"}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The 7-item IPAQ-S has also been validated in Chinese population with good reliability</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{"citationID":"q5PVa8Qz","properties":{"formattedCitation":"(2, 3)","plainCitation":"(2, 3)","noteIndex":0},"citationItems":[{"id":301,"uris":["http://zotero.org/users/6436273/items/DDMYGRXI"],"uri":["http://zotero.org/users/6436273/items/DDMYGRXI"],"itemData":{"id":301,"type":"article-journal","abstract":"Background: The International Physical Activity Questionnaire - Short Form (IPAQ-SF) has been recommended as a cost-effective method to assess physical activity. Several studies validating the IPAQ-SF have been conducted with differing results, but no systematic review of these studies has been reported.\nMethods: The keywords “IPAQ”, “validation”, and “validity” were searched in PubMed and Scopus. Studies published in English that validated the IPAQ-SF against an objective physical activity measuring device, doubly labeled water, or an objective fitness measure were included.\nResults: Twenty-three validation studies were included in this review. There was a great deal of variability in the methods used across studies, but the results were largely similar. Correlations between the total physical activity level measured by the IPAQ-SF and objective standards ranged from 0.09 to 0.39; none reached the minimal acceptable standard in the literature (0.50 for objective activity measuring devices, 0.40 for fitness measures). Correlations between sections of the IPAQ-SF for vigorous activity or moderate activity level/walking and an objective standard showed even greater variability (-0.18 to 0.76), yet several reached the minimal acceptable standard. Only six studies provided comparisons between physical activity levels derived from the IPAQ-SF and those obtained from objective criterion. In most studies the IPAQ-SF overestimated physical activity level by 36 to 173 percent; one study underestimated by 28 percent.\nConclusions: The correlation between the IPAQ-SF and objective measures of activity or fitness in the large majority of studies was lower than the acceptable standard. Furthermore, the IPAQ-SF typically overestimated physical activity as measured by objective criterion by an average of 84 percent. Hence, the evidence to support the use of the IPAQ-SF as an indicator of relative or absolute physical activity is weak.","container-title":"International Journal of Behavioral Nutrition and Physical Activity","DOI":"10.1186/1479-5868-8-115","ISSN":"1479-5868","issue":"1","journalAbbreviation":"Int J Behav Nutr Phys Act","language":"en","page":"115","source":"DOI.org (Crossref)","title":"Validity of the international physical activity questionnaire short form (IPAQ-SF): A systematic review","title-short":"Validity of the international physical activity questionnaire short form (IPAQ-SF)","volume":"8","author":[{"family":"Lee","given":"Paul H"},{"family":"Macfarlane","given":"Duncan J"},{"family":"Lam","given":"Th"},{"family":"Stewart","given":"Sunita M"}],"issued":{"date-parts":[["2011"]]}}},{"id":305,"uris":["http://zotero.org/users/6436273/items/2J7RKJZ8"],"uri":["http://zotero.org/users/6436273/items/2J7RKJZ8"],"itemData":{"id":305,"type":"article-journal","abstract":"The aim of this study was to examine the reliability and validity of the Chinese version of the International Physical Activity Questionnaire (IPAQ-C). The IPAQ-C was administered three times to each participant to examine the stability and reliability of the self-reported physical activity, whilst data to examine concurrent validity were acquired over 7 consecutive days using a physical activity log (PA-log), and an MTI accelerometer. A complete set of data was obtained from 49 Chinese residents (range 15—55 years; 30 males). The total physical activity recorded by IPAQ-C was acceptably reliable (ICC of 0.79 and %CV of 26%). There was weak agreement between IPAQ-C and the total MTI-derived activity and any of its constituent sub-components. Better agreement was seen between IPAQ-C and the PA-log data, with no signiﬁcant difference between average total activity (3931 and 4047 MET min week−1, respectively, p = 0.51), and a bias and LOA of 3% and 94% of the mean score, respectively. Although these statistics are not dissimilar to those reported on other self-report physical activity questionnaires, suggesting the IPAQ-C is adequately reliable and valid for the measurement of total physical activity in a Chinese population, care needs to be taken, especially as the sub-components of total activity were markedly less valid and reliable.","container-title":"Journal of Science and Medicine in Sport","DOI":"10.1016/j.jsams.2006.05.003","ISSN":"14402440","issue":"1","journalAbbreviation":"Journal of Science and Medicine in Sport","language":"en","page":"45-51","source":"DOI.org (Crossref)","title":"Reliability and validity of the Chinese version of IPAQ (short, last 7 days)","volume":"10","author":[{"family":"Macfarlane","given":"Duncan J."},{"family":"Lee","given":"Cherry C.Y."},{"family":"Ho","given":"Edmond Y.K."},{"family":"Chan","given":"K.L."},{"family":"Chan","given":"Dionise T.S."}],"issued":{"date-parts":[["2007",2]]}}}],"schema":"https://github.com/citation-style-language/schema/raw/master/csl-citation.json"}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(2, 3)</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The method for calculating weekly PA consumption has been described in the previous publication</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mODy3eXO","properties":{"formattedCitation":"(4)","plainCitation":"(4)","noteIndex":0},"citationItems":[{"id":812,"uris":["http://zotero.org/users/6436273/items/7QAMLSZP"],"uri":["http://zotero.org/users/6436273/items/7QAMLSZP"],"itemData":{"id":812,"type":"article-journal","abstract":"(1) Background: The novel coronavirus disease 2019 (COVID-19) is a global public health emergency that has caused worldwide concern. Vast resources have been allocated to control the pandemic and treat patients. However, little attention has been paid to the adverse impact on mental health or effective mitigation strategies to improve mental health. (2) Purpose: The aim of this study was to assess the adverse impact of the COVID-19 outbreak on Chinese college students’ mental health, understand the underlying mechanisms, and explore feasible mitigation strategies. (3) Methods: During the peak time of the COVID-19 outbreak in China, we conducted longitudinal surveys of sixty-six college students. Structured questionnaires collected information on demographics, physical activity, negative emotions, sleep quality, and aggressiveness level. A mixed-effect model was used to evaluate associations between variables, and the mediating effect of sleep quality was further explored. A generalized additive model was used to determine the dose-response relationships between the COVID-19 death count, physical activity, and negative emotions. (4) Results: The COVID-19 death count showed a direct negative impact on general sleep quality (β = 1.37, 95% confidence interval [95% CI]: 0.55, 2.19) and reduced aggressiveness (β = −6.57, 95% CI: −12.78, −0.36). In contrast, the COVID-19 death count imposed not a direct but an indirect impact on general negative emotions (indirect effect (IE) = 0.81, p = 0.012), stress (IE = 0.40, p &lt; 0.001), and anxiety (IE = 0.27, p = 0.004) with sleep quality as a mediator. Moreover, physical activity directly alleviated general negative emotions (β = −0.12, 95% CI: −0.22, −0.01), and the maximal mitigation effect occurred when weekly physical activity was about 2500 METs. (5) Conclusions: (a) The severity of the COVID-19 outbreak has an indirect effect on negative emotions by affecting sleep quality. (b) A possible mitigation strategy for improving mental health includes taking suitable amounts of daily physical activity and sleeping well. (c) The COVID-19 outbreak has reduced people’s aggressiveness, probably by making people realize the fragility and preciousness of life.","container-title":"International Journal of Environmental Research and Public Health","DOI":"10.3390/ijerph17103722","ISSN":"1660-4601","issue":"10","journalAbbreviation":"IJERPH","language":"en","page":"3722","source":"DOI.org (Crossref)","title":"Mental Health Problems during the COVID-19 Pandemics and the Mitigation Effects of Exercise: A Longitudinal Study of College Students in China","title-short":"Mental Health Problems during the COVID-19 Pandemics and the Mitigation Effects of Exercise","volume":"17","author":[{"family":"Zhang","given":"Yao"},{"family":"Zhang","given":"Haoyu"},{"family":"Ma","given":"Xindong"},{"family":"Di","given":"Qian"}],"issued":{"date-parts":[["2020",5,25]]}}}],"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(4)</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First, participants were asked to classify typically weekly PA during the previous month into three intensity categories: light (e.g. walking), moderate (e.g. jogging) and vigorous (e.g. lifting and fast cycling) by reporting days per </w:t>
      </w:r>
      <w:r w:rsidRPr="00D606A7">
        <w:rPr>
          <w:rFonts w:ascii="Times New Roman" w:hAnsi="Times New Roman" w:cs="Times New Roman"/>
          <w:sz w:val="24"/>
          <w:szCs w:val="24"/>
        </w:rPr>
        <w:lastRenderedPageBreak/>
        <w:t xml:space="preserve">week and duration each time spent on different PA intensity. An average metabolic equivalent coefficient (MET) according to previous studies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{"citationID":"3q5CMpFu","properties":{"formattedCitation":"(1, 5)","plainCitation":"(1, 5)","noteIndex":0},"citationItems":[{"id":303,"uris":["http://zotero.org/users/6436273/items/P3YF7LHY"],"uri":["http://zotero.org/users/6436273/items/P3YF7LHY"],"itemData":{"id":303,"type":"article-journal","container-title":"Medicine &amp; Science in Sports &amp; Exercise","DOI":"10.1249/01.MSS.0000078924.61453.FB","ISSN":"0195-9131","issue":"8","journalAbbreviation":"Medicine &amp; Science in Sports &amp; Exercise","language":"en","page":"1381-1395","source":"DOI.org (Crossref)","title":"International Physical Activity Questionnaire: 12-Country Reliability and Validity:","title-short":"International Physical Activity Questionnaire","volume":"35","author":[{"family":"Craig","given":"Cora L."},{"family":"Marshall","given":"Alison L."},{"family":"Sj??Str??M","given":"Michael"},{"family":"Bauman","given":"Adrian E."},{"family":"Booth","given":"Michael L."},{"family":"Ainsworth","given":"Barbara E."},{"family":"Pratt","given":"Michael"},{"family":"Ekelund","given":"Ulf"},{"family":"Yngve","given":"Agneta"},{"family":"Sallis","given":"James F."},{"family":"Oja","given":"Pekka"}],"issued":{"date-parts":[["2003",8]]}}},{"id":426,"uris":["http://zotero.org/users/6436273/items/X5IDKE5W"],"uri":["http://zotero.org/users/6436273/items/X5IDKE5W"],"itemData":{"id":426,"type":"article-journal","container-title":"Medicine &amp; Science in Sports &amp; Exercise","DOI":"10.1097/00005768-200009001-00009","ISSN":"0195-9131","issue":"Supplement","journalAbbreviation":"Medicine &amp; Science in Sports &amp; Exercise","language":"en","page":"S498-S516","source":"DOI.org (Crossref)","title":"Compendium of Physical Activities: an update of activity codes and MET intensities:","title-short":"Compendium of Physical Activities","volume":"32","author":[{"family":"Ainsworth","given":"Barbara E."},{"family":"Haskell","given":"William L."},{"family":"Whitt","given":"Melicia C."},{"family":"Irwin","given":"Melinda L."},{"family":"Swartz","given":"Ann M."},{"family":"Strath","given":"Scott J."},{"family":"O???Brien","given":"William L."},{"family":"Bassett","given":"David R."},{"family":"Schmitz","given":"Kathryn H."},{"family":"Emplaincourt","given":"Patricia O."},{"family":"Jacobs","given":"David R."},{"family":"Leon","given":"Arthur S."}],"issued":{"date-parts":[["2000",9]]}}}],"schema":"https://github.com/citation-style-language/schema/raw/master/csl-citation.json"}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(1, 5)</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was assigned to each PA category: 3.3 for light, 4.0 for moderate and 8.0 for vigorous. Afterwards, METs-minutes/week of certain PA category was calculated as the product of corresponding intensity (MET coefficient) and total duration (minutes/week). The total PA was appraised by adding light, moderate and vigorous PA while MVPA was estimated as the sum of moderate and vigorous PA. What’ more, Sedentary behavior was defined as PA less than 1.5 METs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{"citationID":"sdj2oVjL","properties":{"formattedCitation":"(1, 5)","plainCitation":"(1, 5)","noteIndex":0},"citationItems":[{"id":303,"uris":["http://zotero.org/users/6436273/items/P3YF7LHY"],"uri":["http://zotero.org/users/6436273/items/P3YF7LHY"],"itemData":{"id":303,"type":"article-journal","container-title":"Medicine &amp; Science in Sports &amp; Exercise","DOI":"10.1249/01.MSS.0000078924.61453.FB","ISSN":"0195-9131","issue":"8","journalAbbreviation":"Medicine &amp; Science in Sports &amp; Exercise","language":"en","page":"1381-1395","source":"DOI.org (Crossref)","title":"International Physical Activity Questionnaire: 12-Country Reliability and Validity:","title-short":"International Physical Activity Questionnaire","volume":"35","author":[{"family":"Craig","given":"Cora L."},{"family":"Marshall","given":"Alison L."},{"family":"Sj??Str??M","given":"Michael"},{"family":"Bauman","given":"Adrian E."},{"family":"Booth","given":"Michael L."},{"family":"Ainsworth","given":"Barbara E."},{"family":"Pratt","given":"Michael"},{"family":"Ekelund","given":"Ulf"},{"family":"Yngve","given":"Agneta"},{"family":"Sallis","given":"James F."},{"family":"Oja","given":"Pekka"}],"issued":{"date-parts":[["2003",8]]}}},{"id":426,"uris":["http://zotero.org/users/6436273/items/X5IDKE5W"],"uri":["http://zotero.org/users/6436273/items/X5IDKE5W"],"itemData":{"id":426,"type":"article-journal","container-title":"Medicine &amp; Science in Sports &amp; Exercise","DOI":"10.1097/00005768-200009001-00009","ISSN":"0195-9131","issue":"Supplement","journalAbbreviation":"Medicine &amp; Science in Sports &amp; Exercise","language":"en","page":"S498-S516","source":"DOI.org (Crossref)","title":"Compendium of Physical Activities: an update of activity codes and MET intensities:","title-short":"Compendium of Physical Activities","volume":"32","author":[{"family":"Ainsworth","given":"Barbara E."},{"family":"Haskell","given":"William L."},{"family":"Whitt","given":"Melicia C."},{"family":"Irwin","given":"Melinda L."},{"family":"Swartz","given":"Ann M."},{"family":"Strath","given":"Scott J."},{"family":"O???Brien","given":"William L."},{"family":"Bassett","given":"David R."},{"family":"Schmitz","given":"Kathryn H."},{"family":"Emplaincourt","given":"Patricia O."},{"family":"Jacobs","given":"David R."},{"family":"Leon","given":"Arthur S."}],"issued":{"date-parts":[["2000",9]]}}}],"schema":"https://github.com/citation-style-language/schema/raw/master/csl-citation.json"}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(1, 5)</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Participants were asked to report their typically average sedentary time spent on weekdays and weekends, and then an average sedentary time (AST) in minutes per day was calculated. </w:t>
      </w:r>
    </w:p>
    <w:p w14:paraId="406480C1"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2.4.2 Anxiety Emotion</w:t>
      </w:r>
    </w:p>
    <w:p w14:paraId="6AAC4833" w14:textId="1A64CAFC" w:rsidR="00EA4465" w:rsidRPr="00D606A7" w:rsidRDefault="00EA4465" w:rsidP="00D606A7">
      <w:pPr>
        <w:autoSpaceDE w:val="0"/>
        <w:autoSpaceDN w:val="0"/>
        <w:adjustRightInd w:val="0"/>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The Spielberger State-Trait Anxiety Inventory (STAI) is one of the most frequently used measures of anxiety in applied psychology research. In this study, we used a validated short version of STAI with 10 items (STAI-S) to assess the anxiety emotions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ay2SbYN1","properties":{"formattedCitation":"(6)","plainCitation":"(6)","noteIndex":0},"citationItems":[{"id":490,"uris":["http://zotero.org/users/6436273/items/GU2JZ6HA"],"uri":["http://zotero.org/users/6436273/items/GU2JZ6HA"],"itemData":{"id":490,"type":"article-journal","abstract":"The Spielberger State-Trait Anxiety Inventory (STAI) has been widely used to measure the state and trait components of anxiety. We sought to develop a short, yet reliable and v</w:instrText>
      </w:r>
      <w:r w:rsidR="00C12547">
        <w:rPr>
          <w:rFonts w:ascii="Times New Roman" w:hAnsi="Times New Roman" w:cs="Times New Roman" w:hint="eastAsia"/>
          <w:sz w:val="24"/>
          <w:szCs w:val="24"/>
        </w:rPr>
        <w:instrText>alid form of these scales for use in circumstances where the full</w:instrText>
      </w:r>
      <w:r w:rsidR="00C12547">
        <w:rPr>
          <w:rFonts w:ascii="Times New Roman" w:hAnsi="Times New Roman" w:cs="Times New Roman" w:hint="eastAsia"/>
          <w:sz w:val="24"/>
          <w:szCs w:val="24"/>
        </w:rPr>
        <w:instrText>‐</w:instrText>
      </w:r>
      <w:r w:rsidR="00C12547">
        <w:rPr>
          <w:rFonts w:ascii="Times New Roman" w:hAnsi="Times New Roman" w:cs="Times New Roman" w:hint="eastAsia"/>
          <w:sz w:val="24"/>
          <w:szCs w:val="24"/>
        </w:rPr>
        <w:instrText>form is not feasible. We abbreviated the scales using item response theory analyses to retain the items that could discriminate the best among participants. One sample (N = 922) completed t</w:instrText>
      </w:r>
      <w:r w:rsidR="00C12547">
        <w:rPr>
          <w:rFonts w:ascii="Times New Roman" w:hAnsi="Times New Roman" w:cs="Times New Roman"/>
          <w:sz w:val="24"/>
          <w:szCs w:val="24"/>
        </w:rPr>
        <w:instrText xml:space="preserve">he state scale, a second sample (N = 2227) completed the trait scale, while a third sample (N = 250) completed the short forms. Our participants completed the Hungarian version of STAI alongside other measures to observe external validity. We calculated cut-off scores for the state (&gt;9.5,) and trait (&gt;13.5) scales. A total of 19.5% and 20.1% of the respondents reached the cut-off scores. The five-item short forms of STAI had sound psychometric properties that are comparable to those obtained on the full-form. The external validity of the scales is also demonstrated. We report detailed descriptive statistics that could be used in further studies as standards. The short scales are reliable measures that could be used in clinical screening and behavioural research; especially where practical considerations preclude the use of a longer questionnaire.","container-title":"Psychiatry Research","DOI":"10.1016/j.psychres.2020.113223","ISSN":"01651781","journalAbbreviation":"Psychiatry Research","language":"en","page":"113223","source":"DOI.org (Crossref)","title":"Development of the short version of the spielberger state—trait anxiety inventory","volume":"291","author":[{"family":"Zsido","given":"Andras N."},{"family":"Teleki","given":"Szidalisz A."},{"family":"Csokasi","given":"Krisztina"},{"family":"Rozsa","given":"Sandor"},{"family":"Bandi","given":"Szabolcs A."}],"issued":{"date-parts":[["2020",9]]}}}],"schema":"https://github.com/citation-style-language/schema/raw/master/csl-citation.json"}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(6)</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The lite STAI has been verified reliable in Chinese population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qWBONRTS","properties":{"formattedCitation":"(7)","plainCitation":"(7)","noteIndex":0},"citationItems":[{"id":478,"uris":["http://zotero.org/users/6436273/items/JVAWDZYH"],"uri":["http://zotero.org/users/6436273/items/JVAWDZYH"],"itemData":{"id":478,"type":"article-journal","abstract":"This study was conducted to develop the Chinese Mandarin State-Trait Anxiety Inventory Y form and to evaluate its psychometric properties among Taiwanese outpatients with anxiety disorders. A three-phase survey questionnaire was used to gather cross-sectional data. Non-hospitalized adults (n = 306) with anxiety disorders were recruited from mental health clinics in central Taiwan. Cronbach’s alpha reliabilities for the state and trait anxiety subscales were 0.91 and 0.92, respectively. The 2-week test–retest reliabilities for the state and trait anxiety subscales were 0.76 and 0.91, respectively. Criterion validity of the scale was supported by its high correlations with the interview version of the Chinese Hamilton Anxiety Rating Scale (r = 0.69 for state and 0.74 for trait anxiety). Construct validity of the scale was conﬁrmed by a fourfactor structure, showing slightly adequate representation of the data. The scale was shown to be reliable and may be valid for measuring anxiety in Taiwanese adults with anxiety disorders.","container-title":"Journal of Psychiatric and Mental Health Nursing","DOI":"10.1111/j.1365-2850.2012.01945.x","ISSN":"13510126","issue":"6","journalAbbreviation":"J Psychiatr Ment Health Nurs","language":"en","page":"499-507","source":"DOI.org (Crossref)","title":"Evaluation of psychometric properties of the Chinese Mandarin version State-Trait Anxiety Inventory Y form in Taiwanese outpatients with anxiety disorders: CMSTAI-Y for patients with anxiety disorders","title-short":"Evaluation of psychometric properties of the Chinese Mandarin version State-Trait Anxiety Inventory Y form in Taiwanese outpatients with anxiety disorders","volume":"20","author":[{"family":"Ma","given":"W-F."},{"family":"Liu","given":"Y-C."},{"family":"Chen","given":"Y-F."},{"family":"Lane","given":"H-Y."},{"family":"Lai","given":"T-J."},{"family":"Huang","given":"L-C."}],"issued":{"date-parts":[["2013",8]]}}}],"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(7)</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The STAI-S consists of two questionnaires of 5 items each. The first questionnaire measures state anxiety. Participants were asked to answer questions indicating how one feels at the moment, such as “I feel upset” and “I feel confused”. The second questionnaire measures trait anxiety. Participants were asked to answer questions revealing how one generally long-standing feels, like “I feel that difficulties are piling up so that I cannot overcome them” and “I take disappointments so keenly that I can't put them out of my mind”. Each item was rated on a scale of 1 to 4, corresponding to “Not at all”, “Somewhat”, “Moderately so” and “Very much so”. The STAI score, used as a general indicator of anxiety emotions, was the sum of the ten items, ranging from 10 to 40. A higher STAI score indicated more anxiety emotions.</w:t>
      </w:r>
    </w:p>
    <w:p w14:paraId="6E5AAF6E"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2.4.3 Stress Emotions</w:t>
      </w:r>
    </w:p>
    <w:p w14:paraId="2809062C" w14:textId="6DB369DA" w:rsidR="00EA4465" w:rsidRPr="00D606A7" w:rsidRDefault="00EA4465" w:rsidP="00D606A7">
      <w:pPr>
        <w:autoSpaceDE w:val="0"/>
        <w:autoSpaceDN w:val="0"/>
        <w:adjustRightInd w:val="0"/>
        <w:spacing w:line="480" w:lineRule="auto"/>
        <w:rPr>
          <w:rFonts w:ascii="Times New Roman" w:hAnsi="Times New Roman" w:cs="Times New Roman"/>
          <w:sz w:val="24"/>
          <w:szCs w:val="24"/>
        </w:rPr>
      </w:pPr>
      <w:r w:rsidRPr="00D606A7">
        <w:rPr>
          <w:rFonts w:ascii="Times New Roman" w:hAnsi="Times New Roman" w:cs="Times New Roman"/>
          <w:sz w:val="24"/>
          <w:szCs w:val="24"/>
        </w:rPr>
        <w:t>The Perceived Stress Scale (PSS) is one of the most typical stressor measures</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TTLd3kDd","properties":{"formattedCitation":"(8)","plainCitation":"(8)","noteIndex":0},"citationItems":[{"id":470,"uris":["http://zotero.org/users/6436273/items/T9SJAZR6"],"uri":["http://zotero.org/users/6436273/items/T9SJAZR6"],"itemData":{"id":470,"type":"article-journal","container-title":"Journal of Health and Social Behavior","DOI":"10.2307/2136404","ISSN":"00221465","issue":"4","journalAbbreviation":"Journal of Health and Social Behavior","language":"en","page":"385","source":"DOI.org (Crossref)","title":"A Global Measure of Perceived Stress","volume":"24","author":[{"family":"Cohen","given":"Sheldon"},{"family":"Kamarck","given":"Tom"},{"family":"Mermelstein","given":"Robin"}],"issued":{"date-parts":[["1983",12]]}}}],"schema":"https://github.com/citation-style-language/schema/raw/master/csl-citation.json"}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(8)</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We employed a simplified Chinese version of PSS with only 10 items (C-PSS-10), which has been validated in previous publications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{"citationID":"xGYHfO3n","properties":{"formattedCitation":"(9, 10)","plainCitation":"(9, 10)","noteIndex":0},"citationItems":[{"id":472,"uris":["http://zotero.org/users/6436273/items/NVHX5WEI"],"uri":["http://zotero.org/users/6436273/items/NVHX5WEI"],"itemData":{"id":472,"type":"article-journal","abstract":"Background: The 10-item Perceived Stress Scale (PSS-10) is one of most widely used instruments to measure a global level of perceived stress in a range of clinical and research settings. This study was conducted to examine the psychometric properties of the Simplified Chinese version of the PSS-10 in policewomen.\nMethodology: A total of 240 policewomen were recruited in this study. The Simplified Chinese versions of the PSS-10, the Beck Depression Inventory Revised (BDI-II), and the Beck Anxiety Inventory (BAI) were administered to all participants, and 36 of the participants were re-tested two weeks after the initial testing. Principal Findings: The overall Cronbach’s alpha was 0.86, and the test–retest reliability coefficient was 0.68. Exploratory Factor Analysis (EFA) yielded 2 factors with eigenvalues of 4.76 and 1.48, accounting for 62.41% of variance. Factor 1 consisted of 6 items representing ‘‘negative feelings</w:instrText>
      </w:r>
      <w:r w:rsidR="00C12547">
        <w:rPr>
          <w:rFonts w:ascii="Times New Roman" w:hAnsi="Times New Roman" w:cs="Times New Roman" w:hint="eastAsia"/>
          <w:sz w:val="24"/>
          <w:szCs w:val="24"/>
        </w:rPr>
        <w:instrText>’’</w:instrText>
      </w:r>
      <w:r w:rsidR="00C12547">
        <w:rPr>
          <w:rFonts w:ascii="Times New Roman" w:hAnsi="Times New Roman" w:cs="Times New Roman"/>
          <w:sz w:val="24"/>
          <w:szCs w:val="24"/>
        </w:rPr>
        <w:instrText xml:space="preserve">; whereas Factor 2 consisted of 4 items representing ‘‘positive feelings’’. The item loadings ranged from 0.72 to 0.83. The Confirmatory factor analysis (CFA) indicated a very good fit of this twofactor model to this sample. The PSS-10 significantly correlated with both BDI-II and BAI, indicating an acceptable concurrent validity.\nConclusions: The Simplified Chinese version of the PSS-10 demonstrated adequate psychometric properties for evaluating stress levels. The results support its use among the Chinese population.","container-title":"PLoS ONE","DOI":"10.1371/journal.pone.0028610","ISSN":"1932-6203","issue":"12","journalAbbreviation":"PLoS ONE","language":"en","page":"e28610","source":"DOI.org (Crossref)","title":"Psychometric Properties of the Chinese Version of the Perceived Stress Scale in Policewomen","volume":"6","author":[{"family":"Wang","given":"Zhen"},{"family":"Chen","given":"Jue"},{"family":"Boyd","given":"Jennifer E."},{"family":"Zhang","given":"Haiyin"},{"family":"Jia","given":"Xiuzhen"},{"family":"Qiu","given":"Jianyin"},{"family":"Xiao","given":"Zeping"}],"editor":[{"family":"Liu","given":"Chunyu"}],"issued":{"date-parts":[["2011",12,2]]}},"label":"page"},{"id":474,"uris":["http://zotero.org/users/6436273/items/IW9VBRL6"],"uri":["http://zotero.org/users/6436273/items/IW9VBRL6"],"itemData":{"id":474,"type":"article-journal","abstract":"Chinese university students often suffer from acute stress, which can affect their mental health. We measured and evaluated perceived stress in this population using the Simplified Chinese version of the 10-item Perceived Stress Scale (SCPSS-10). The SCPSS-10, Patient Health Questionnaire (PHQ), and Generalized Anxiety Disorder 7-item scale (GAD7) were conducted in 1096 university students. Two weeks later, 129 participants were retested using the SCPSS-10. Exploratory factor analysis yielded two factors with Eigen values of 4.76 and 1.48, accounting for 62.41% of the variance. Confirmatory factor analysis demonstrated good fit of this two-factor model. The internal consistency reliability, as measured by Cronbach’s α, was 0.85. The test-retest reliability coefficient was 0.7. The SCPSS10 exhibited high correlation with the PHQ-9 and GAD-7, indicating an acceptable concurrent validity. The SCPSS-10 exhibited satisfactory psychometric properties in Chinese university students.","container-title":"PLOS ONE","DOI":"10.1371/journal.pone.0189543","ISSN":"1932-6203","issue":"12","journalAbbreviation":"PLoS ONE","language":"en","page":"e0189543","source":"DOI.org (Crossref)","title":"Chinese version of the Perceived Stress Scale-10: A psychometric study in Chinese university students","title-short":"Chinese version of the Perceived Stress Scale-10","volume":"12","author":[{"family":"Lu","given":"Wei"},{"family":"Bian","given":"Qian"},{"family":"Wang","given":"Wenzheng"},{"family":"Wu","given":"Xiaoling"},{"family":"Wang","given":"Zhen"},{"family":"Zhao","given":"Min"}],"editor":[{"family":"Dang","given":"Yong-hui"}],"issued":{"date-parts":[["2017",12,18]]}},"label":"page"}],"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(9, 10)</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Participants were supposed to answer questions, like “In the last month, how often have you been unable to control the important things in your life?” and “In the last month, how often have you felt nervous and stressed?”. </w:t>
      </w:r>
      <w:r w:rsidRPr="00D606A7">
        <w:rPr>
          <w:rFonts w:ascii="Times New Roman" w:hAnsi="Times New Roman" w:cs="Times New Roman"/>
          <w:sz w:val="24"/>
          <w:szCs w:val="24"/>
        </w:rPr>
        <w:lastRenderedPageBreak/>
        <w:t>Each item was rated with a five-point Likert scale score ranging from 0 (Never) to 4 (Very often). Hence, the total PSS score ranged from 0 to 40 and participants with higher scores mirrored more perceived stress emotions.</w:t>
      </w:r>
    </w:p>
    <w:p w14:paraId="7D3E9F85" w14:textId="77777777" w:rsidR="00EA4465" w:rsidRPr="006656FA" w:rsidRDefault="00EA4465" w:rsidP="00D606A7">
      <w:pPr>
        <w:autoSpaceDE w:val="0"/>
        <w:autoSpaceDN w:val="0"/>
        <w:adjustRightInd w:val="0"/>
        <w:spacing w:line="480" w:lineRule="auto"/>
        <w:jc w:val="left"/>
        <w:rPr>
          <w:rFonts w:ascii="Times New Roman" w:hAnsi="Times New Roman" w:cs="Times New Roman"/>
          <w:b/>
          <w:bCs/>
          <w:sz w:val="24"/>
          <w:szCs w:val="24"/>
        </w:rPr>
      </w:pPr>
      <w:r w:rsidRPr="006656FA">
        <w:rPr>
          <w:rFonts w:ascii="Times New Roman" w:hAnsi="Times New Roman" w:cs="Times New Roman"/>
          <w:b/>
          <w:bCs/>
          <w:sz w:val="24"/>
          <w:szCs w:val="24"/>
        </w:rPr>
        <w:t xml:space="preserve">2.4.4 Processing Speed </w:t>
      </w:r>
    </w:p>
    <w:p w14:paraId="667AB3D7" w14:textId="5474A523" w:rsidR="00EA4465" w:rsidRPr="00D606A7" w:rsidRDefault="00EA4465" w:rsidP="00D606A7">
      <w:pPr>
        <w:autoSpaceDE w:val="0"/>
        <w:autoSpaceDN w:val="0"/>
        <w:adjustRightInd w:val="0"/>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Processing speed (PS) reflects the conduction velocity and operation efficiency of brain neural network and is a general indicator of intelligence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oLegGSBv","properties":{"formattedCitation":"(11)","plainCitation":"(11)","noteIndex":0},"citationItems":[{"id":1242,"uris":["http://zotero.org/users/6436273/items/348PTY6V"],"uri":["http://zotero.org/users/6436273/items/348PTY6V"],"itemData":{"id":1242,"type":"article-journal","abstract":"A review of recent large-scale studies on gender differences in processing speed and on the cognitive factors assumed to affect processing speed was performed. It was found that females have an advantage in processing speed tasks involving digits and alphabets as well as in rapid naming tasks while males are faster on reaction time tests and ﬁnger tapping. Females also outperform males in reading and writing skills. However, no signiﬁcant gender differences were found in general, crystallized (verbal) or ﬂuid (nonverbal) intelligence, nor in the more narrow skills measured by individual subtests of common IQ tests, nor in short-term memory or inspection time. It is concluded that gender differences in reading and writing ﬂuency may have a signiﬁcant effect on gender differences in processing speed tasks. Following Lynn and Mikk (2009), it is suggested that female superiority in reading and writing skills may be partly based on their deeper engagement in language related activities at school and at home. Male superiority in reaction time and ﬁnger tapping tests is most likely based on other factors. The results of the study support the theory of several speed abilities as opposed to a general processing speed ability.","container-title":"Learning and Individual Differences","DOI":"10.1016/j.lindif.2010.11.021","ISSN":"10416080","issue":"2","journalAbbreviation":"Learning and Individual Differences","language":"en","page":"145-149","source":"DOI.org (Crossref)","title":"Gender differences in processing speed: A review of recent research","title-short":"Gender differences in processing speed","volume":"21","author":[{"family":"Roivainen","given":"Eka"}],"issued":{"date-parts":[["2011",4]]}}}],"schema":"https://github.com/citation-style-language/schema/raw/master/csl-citation.json"}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(11)</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In this study, PS was measured by a Symbol Search Task revised from a homonymous subtest of the Wechsler Intelligence Scale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gNAxmxCD","properties":{"unsorted":true,"formattedCitation":"(12)","plainCitation":"(12)","noteIndex":0},"citationItems":[{"id":1225,"uris":["http://zotero.org/users/6436273/items/SCH85YDC"],"uri":["http://zotero.org/users/6436273/items/SCH85YDC"],"itemData":{"id":1225,"type":"book","abstract":"In preparing this third, \"war\" edition of the Measurement of Adult Intelligence my primary aim has been to increase the book's usefulness to those engaged in the field of applied psychometrics. I have borne in mind particularly the military applications of the Wechsler-Bellevue Scale, as it is now being used by some of the armed services of our own country as well as of Great Britain. Accordingly, most of the changes made will be found in the chapters dealing with Clinical applications and the Problem of mental deterioration. These chapters have been somewhat extended and in part rewritten. The table of 'signs' for different clinical entities has been completely revised and a new quantitative method for determining mental deterioration elaborated. Both of these presentations should be of value not only in the field of neuropsychiatric diagnosis but also in questions connected with rehabilitation. In addition to the above, some changes have been made in the scoring of certain subtests of the Scale. The effect of these changes will be to increase the I.Q. range at the upper end of the Scale, without however altering significantly the norms for the population as a whole. In the case of one or two tests (noticeably, the Arithmetic) the change has necessitated slight alteration in the scoring of some of the subtest items. Little alteration has otherwise been made in the substance of the text. One table and two figures which were not particularly useful have been omitted and two new tables which should be of immediate and practical value added. Also added is a bibliography of most of the important studies with the Wechsler-Bellevue Scale, published up to March 1944. (PsycINFO Database Record (c) 2016 APA, all rights reserved)","collection-title":"The measurement of adult intelligence, 3rd ed","event-place":"Baltimore, MD, US","note":"page: vii, 258\nDOI: 10.1037/11329-000","number-of-pages":"vii, 258","publisher":"Williams &amp; Wilkins Co","publisher-place":"Baltimore, MD, US","source":"APA PsycNET","title":"The measurement of adult intelligence, 3rd ed","author":[{"family":"Wechsler","given":"David"}],"issued":{"date-parts":[["1944"]]}}}],"schema":"https://github.com/citation-style-language/schema/raw/master/csl-citation.json"}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(12)</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There was a horizontal line in the middle of the screen, with two and five symbols above and below the line respectively. Subjects was to check whether one of the two symbols above the horizontal line was among the five symbols below that. If it was right, press J, and if not, press F. Prior to the formal test, participants were given a 1-minute practice. Then, subjects were required to complete the task as much as possible under the premise of ensuring correctness within 2 minutes. Participants could get a point once they made a correct judgement. The totally raw score of this task module was the correct judgement number subjects made within the specific time, and then it was converted to the final PS score, ranging from 0 to 19, by comparing with the norm.</w:t>
      </w:r>
    </w:p>
    <w:p w14:paraId="0C522922"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2.4.5 Working Memory</w:t>
      </w:r>
    </w:p>
    <w:p w14:paraId="4700B1A7" w14:textId="4E8338E4" w:rsidR="00EA4465" w:rsidRPr="00D606A7" w:rsidRDefault="00EA4465"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Working memory (WM) is a system where processing and memorizing different information coincide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KjGJOIjK","properties":{"formattedCitation":"(13)","plainCitation":"(13)","noteIndex":0},"citationItems":[{"id":1243,"uris":["http://zotero.org/users/6436273/items/4DSTTPRM"],"uri":["http://zotero.org/users/6436273/items/4DSTTPRM"],"itemData":{"id":1243,"type":"article-journal","abstract":"Individual differences in reading comprehension may reflect differences in working memory capacity, specifically in the trade-off between its processing and storage functions. A poor reader's processes may be inefficient, so that they lessen the amount of additional information that can be maintained in working memory. A test with heavy processing and storage demands was devised to measure this trade-off. Subjects read aloud a series of sentences and then recalled the final word of each sentence. The reading span, the number of final words recalled, varied from two to five for 20 college students. This span correlated with three reading comprehension measures, including verbal SAT and tests involving fact retrieval and pronominal reference. Similar correlations were obtained with a listening span task, showing that the correlation is not specific to reading. These results were contrasted with traditional digit span and word span measures which do not correlate with comprehension.","container-title":"Journal of Verbal Learning and Verbal Behavior","DOI":"10.1016/S0022-5371(80)90312-6","ISSN":"0022-5371","issue":"4","journalAbbreviation":"Journal of Verbal Learning and Verbal Behavior","language":"en","page":"450-466","source":"ScienceDirect","title":"Individual differences in working memory and reading","volume":"19","author":[{"family":"Daneman","given":"Meredyth"},{"family":"Carpenter","given":"Patricia A."}],"issued":{"date-parts":[["1980",8,1]]}}}],"schema":"https://github.com/citation-style-language/schema/raw/master/csl-citation.json"}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(13)</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In this study, WM was estimated by an Operation Span Task adapted from the famous Turner and Engle </w:t>
      </w:r>
      <w:proofErr w:type="spellStart"/>
      <w:r w:rsidRPr="00D606A7">
        <w:rPr>
          <w:rFonts w:ascii="Times New Roman" w:hAnsi="Times New Roman" w:cs="Times New Roman"/>
          <w:sz w:val="24"/>
          <w:szCs w:val="24"/>
        </w:rPr>
        <w:t>Ospan</w:t>
      </w:r>
      <w:proofErr w:type="spellEnd"/>
      <w:r w:rsidRPr="00D606A7">
        <w:rPr>
          <w:rFonts w:ascii="Times New Roman" w:hAnsi="Times New Roman" w:cs="Times New Roman"/>
          <w:sz w:val="24"/>
          <w:szCs w:val="24"/>
        </w:rPr>
        <w:t xml:space="preserve"> Task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lFrNVugF","properties":{"unsorted":true,"formattedCitation":"(14)","plainCitation":"(14)","noteIndex":0},"citationItems":[{"id":1229,"uris":["http://zotero.org/users/6436273/items/CDUEKQFR"],"uri":["http://zotero.org/users/6436273/items/CDUEKQFR"],"itemData":{"id":1229,"type":"article-journal","abstract":"The complex span measure of working memory is a word/digit span measured while performing a secondary task. Two experiments investigated whether correlations between the complex span and reading comprehension depend on the nature of the secondary task and individual skill in that task. The secondary task did not have to be reading related for the span to predict reading comprehension. An arithmetic-related secondary task led to correlations with reading comprehension similar to those found when the secondary task was reading. The relationship remained significant when quantitative skills were factored out of the complex span/comprehension correlations. Simple digit and word spans (measured without a background task) did not correlate with reading comprehension and SAT scores. The second experiment showed that the complex span/comprehension correlations were a function of the difficulty of the background task. When the difficulty level of the reading-related or arithmetic-related background tasks was moderate, the span/comprehension correlations were higher in magnitude than when the background tasks were very simple, or, were very difficult.","container-title":"Journal of Memory and Language","DOI":"10.1016/0749-596X(89)90040-5","ISSN":"0749-596X","issue":"2","journalAbbreviation":"Journal of Memory and Language","language":"en","page":"127-154","source":"ScienceDirect","title":"Is working memory capacity task dependent?","volume":"28","author":[{"family":"Turner","given":"Marilyn L"},{"family":"Engle","given":"Randall W"}],"issued":{"date-parts":[["1989",4,1]]}}}],"schema":"https://github.com/citation-style-language/schema/raw/master/csl-citation.json"}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(14)</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This module consisted of two tasks: mental arithmetic and memory task. The testing process has been described in detail in previous literature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G0OiVdEb","properties":{"formattedCitation":"(15)","plainCitation":"(15)","noteIndex":0},"citationItems":[{"id":1232,"uris":["http://zotero.org/users/6436273/items/BJDTDXZ2"],"uri":["http://zotero.org/users/6436273/items/BJDTDXZ2"],"itemData":{"id":1232,"type":"article-journal","container-title":"Behavior Research Methods","DOI":"10.3758/BF03192720","ISSN":"1554-351X, 1554-3528","issue":"3","journalAbbreviation":"Behavior Research Methods","language":"en","page":"498-505","source":"DOI.org (Crossref)","title":"An automated version of the operation span task","volume":"37","author":[{"family":"Unsworth","given":"Nash"},{"family":"Heitz","given":"Richard P."},{"family":"Schrock","given":"Josef C."},{"family":"Engle","given":"Randall W."}],"issued":{"date-parts":[["2005",8]]}}}],"schema":"https://github.com/citation-style-language/schema/raw/master/csl-citation.json"}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(15)</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First, subjects needed to complete a mixed three-arithmetic operations via mental arithmetic and judge whether the answer presented on screen was right or wrong by clicking the mouse. After that, an animal name written in Chinese (such as “rabbit”) would be displayed immediately in the screen center, which was supposed to be remembered by subjects. This was one integrated mental arithmetic-memory task. After each operation was presented, an animal name was displayed. Subjects were asked to rank the animals in order according to their occurrence sequence after the mental arithmetic-memory task repeated for certain times (i.e. span). The span started from 2 and would add 1 if subjects answered correctly, while it would terminate the test if they failed twice in a row. Only subjects achieved at least 80% accuracy in the operation task </w:t>
      </w:r>
      <w:r w:rsidRPr="00D606A7">
        <w:rPr>
          <w:rFonts w:ascii="Times New Roman" w:hAnsi="Times New Roman" w:cs="Times New Roman"/>
          <w:sz w:val="24"/>
          <w:szCs w:val="24"/>
        </w:rPr>
        <w:lastRenderedPageBreak/>
        <w:t xml:space="preserve">in every round and answer animals’ displaying sequences correctly, one could get a point. The final WM score was converted to 0-19 according to the norm.  </w:t>
      </w:r>
    </w:p>
    <w:p w14:paraId="00AC2545"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2.4.6 Episodic Memory</w:t>
      </w:r>
    </w:p>
    <w:p w14:paraId="671E741F" w14:textId="3942D320" w:rsidR="00EA4465" w:rsidRPr="00D606A7" w:rsidRDefault="00EA4465"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Episodic memory (EM) belongs to long-term memory, that is responsible for receiving and storing occasions or events experienced by individuals in a specific time, as well as various spatiotemporal information associated with them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psAQN1fE","properties":{"formattedCitation":"(16)","plainCitation":"(16)","noteIndex":0},"citationItems":[{"id":1248,"uris":["http://zotero.org/users/6436273/items/N8KE9ZJ2"],"uri":["http://zotero.org/users/6436273/items/N8KE9ZJ2"],"itemData":{"id":1248,"type":"article-journal","abstract":"The fact that medial temporal lobe structures, including the hippocampus, are critical for declarative memory is ﬁrmly established by now. The understanding of the role that these structures play in declarative memory, however, despite great efforts spent in the quest, has eluded investigators so far. Given the existing scenario, novel ideas that hold the promise of clarifying matters should be eagerly sought. One such idea was recently proposed by Vargha-Khadem and her colleagues (Science 1997; 277:376–380) on the basis of their study of three young people suffering from anterograde amnesia caused by early-onset hippocampal pathology. The idea is that the hippocampus is necessary for remembering ongoing life’s experiences (episodic memory), but not necessary for the acquisition of factual knowledge (semantic memory). We discuss the reasons why this novel proposal makes good sense and why it and its ramiﬁcations should be vigorously pursued. We review and compare declarative and episodic theories of amnesia, and argue that the ﬁndings reported by VarghaKhadem and her colleagues ﬁt well into an episodic theory that retains components already publicized, and adds new ones suggested by the Vargha-Khadem et al. study. Existing components of this theory include the idea that acquisition of factual knowledge can occur independently of episodic memory, and the idea that in anterograde amnesia it is quite possible for episodic memory to be more severely impaired than semantic memory. We suggest a realignment of organization of memory such that declarative memory is deﬁned in terms of features and properties that are common to both episodic and semantic memory. The organization of memory thus modiﬁed gives greater precision to the Vargha-Khadem et al. neuroanatomical model in which declarative memory depends on perihippocampal cortical regions but not on the hippocampus, whereas episodic memory, which is separate from declarative memory, depends on the hippocampus. Hippocampus 1998;8:198–204.","language":"en","page":"7","source":"Zotero","title":"Episodic and declarative memory: Role of the hippocampus","author":[{"family":"Tulving","given":"Endel"},{"family":"Markowitsch","given":"Hans J"}]}}],"schema":"https://github.com/citation-style-language/schema/raw/master/csl-citation.json"}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(16)</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In this study, EM was assessed by a Portrait Memory Task revised from a homonymous subtest of the Wechsler Memory Scale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Vz1UVUy2","properties":{"formattedCitation":"(17)","plainCitation":"(17)","noteIndex":0},"citationItems":[{"id":1233,"uris":["http://zotero.org/users/6436273/items/2QL8VQNH"],"uri":["http://zotero.org/users/6436273/items/2QL8VQNH"],"itemData":{"id":1233,"type":"article-journal","container-title":"The Journal of Psychology","DOI":"10.1080/00223980.1945.9917223","ISSN":"0022-3980","issue":"1","note":"publisher: Routledge\n_eprint: https://doi.org/10.1080/00223980.1945.9917223","page":"87-95","source":"Taylor and Francis+NEJM","title":"A Standardized Memory Scale for Clinical Use","volume":"19","author":[{"family":"Wechsler","given":"David"}],"issued":{"date-parts":[["1945",1,1]]}}}],"schema":"https://github.com/citation-style-language/schema/raw/master/csl-citation.json"}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(17)</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During the test, six portraits were presented in turn with person's surname, work and hobbies displayed beside the portrait. Subjects were asked to memorize each portrait and corresponding information within 20 seconds. After all portraits were presented, subjects needed to match the portraits, surnames, jobs and hobbies. The whole test included two rounds of episodic memory and matching process. The content of images and information was consistent with the first round, but the displaying order was different. Subjects could get one point for job or hobby and two points for surname if the information matched with portrait correctly. The totally raw score of EM was the sum of those correct points, ranging from 0 to 48, which would finally be converted into the EM score according to the norm.</w:t>
      </w:r>
    </w:p>
    <w:p w14:paraId="1659C1FA"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2.4.7 Visual-Spatial Ability</w:t>
      </w:r>
    </w:p>
    <w:p w14:paraId="0C73444D" w14:textId="04A6FA27" w:rsidR="00EA4465" w:rsidRPr="00D606A7" w:rsidRDefault="00EA4465"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Visual-spatial ability (VSA) is one of various spatial abilities regarding the encoding, transformation and recognition of spatial information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aX5wTiyE","properties":{"formattedCitation":"(18)","plainCitation":"(18)","noteIndex":0},"citationItems":[{"id":1236,"uris":["http://zotero.org/users/6436273/items/AQ77ZT9E"],"uri":["http://zotero.org/users/6436273/items/AQ77ZT9E"],"itemData":{"id":1236,"type":"article-journal","abstract":"Two experiments are reported in which different batteries of specially designed spatial tasks were administered to male college students. The subjects were selected to be either high or relatively low in spatial visualization ability as assessed by performance on four paper-and-pencil tests (Paper Folding, Surface Development, Form Board, and Cube Comparisons). Three hypotheses proposed to account for individual differences in spatial visualization ability were investigated. These hypotheses attribute differences in spatial visualization ability to variations in: (a) representational quality, (b) transformational efficiency, and (c) preservation of representations during transformations. The failure to find differences related to spatial visualization ability in the accuracy of recognition memory decisions and in the speed of transformations is inconsistent with the first two hypotheses. The evidence was somewhat mixed with respect to the preservation-under-transformation hypothesis, but it does appear that spatial visualization differences are most pronounced when some information must be preserved while the same or other information is being processed.","container-title":"Intelligence","DOI":"10.1016/0160-2896(90)90004-D","ISSN":"0160-2896","issue":"2","journalAbbreviation":"Intelligence","language":"en","page":"187-230","source":"ScienceDirect","title":"Sources of individual differences in spatial visualization ability","volume":"14","author":[{"family":"Salthouse","given":"Timothy A."},{"family":"Babcock","given":"Renee L."},{"family":"Mitchell","given":"Debora R. D."},{"family":"Palmon","given":"Roni"},{"family":"Skovronek","given":"Eric"}],"issued":{"date-parts":[["1990",4,1]]}}}],"schema":"https://github.com/citation-style-language/schema/raw/master/csl-citation.json"}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(18)</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In this study, VSA was measured by a Paper Folding Task modified from </w:t>
      </w:r>
      <w:proofErr w:type="spellStart"/>
      <w:r w:rsidRPr="00D606A7">
        <w:rPr>
          <w:rFonts w:ascii="Times New Roman" w:hAnsi="Times New Roman" w:cs="Times New Roman"/>
          <w:sz w:val="24"/>
          <w:szCs w:val="24"/>
        </w:rPr>
        <w:t>Ekstrom’s</w:t>
      </w:r>
      <w:proofErr w:type="spellEnd"/>
      <w:r w:rsidRPr="00D606A7">
        <w:rPr>
          <w:rFonts w:ascii="Times New Roman" w:hAnsi="Times New Roman" w:cs="Times New Roman"/>
          <w:sz w:val="24"/>
          <w:szCs w:val="24"/>
        </w:rPr>
        <w:t xml:space="preserve"> intelligence subtest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EW1KMC2N","properties":{"formattedCitation":"(19)","plainCitation":"(19)","noteIndex":0},"citationItems":[{"id":1235,"uris":["http://zotero.org/users/6436273/items/35R83CSM"],"uri":["http://zotero.org/users/6436273/items/35R83CSM"],"itemData":{"id":1235,"type":"article","title":"Manual_for_Kit_of_Factor-Referenced_Cognitive_Tests.pdf","URL":"http://www.ets.org/Media/Research/pdf/Manual_for_Kit_of_Factor-Referenced_Cognitive_Tests.pdf","accessed":{"date-parts":[["2020",9,11]]}}}],"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(19)</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During the test, subjects were asked to answer how many holes and their correct positions on a square paper when imaging that before it was unfolded, it was folded in a certain way 1-3 times with a pencil punching through. Participants needed to click the right answer from five possible graphs. A total of 19 trails were arranged in this task module with difficulty increasing progressively. Subjects could get one score if they answered correctly. Hence, the final VSA score ranged from 0-19. </w:t>
      </w:r>
    </w:p>
    <w:p w14:paraId="3D100574" w14:textId="77777777" w:rsidR="00EA4465" w:rsidRPr="006656FA" w:rsidRDefault="00EA4465" w:rsidP="00D606A7">
      <w:pPr>
        <w:spacing w:line="480" w:lineRule="auto"/>
        <w:rPr>
          <w:rFonts w:ascii="Times New Roman" w:hAnsi="Times New Roman" w:cs="Times New Roman"/>
          <w:b/>
          <w:bCs/>
          <w:sz w:val="24"/>
          <w:szCs w:val="24"/>
        </w:rPr>
      </w:pPr>
      <w:r w:rsidRPr="006656FA">
        <w:rPr>
          <w:rFonts w:ascii="Times New Roman" w:hAnsi="Times New Roman" w:cs="Times New Roman"/>
          <w:b/>
          <w:bCs/>
          <w:sz w:val="24"/>
          <w:szCs w:val="24"/>
        </w:rPr>
        <w:t>2.4.8 Verbal Ability</w:t>
      </w:r>
    </w:p>
    <w:p w14:paraId="2AAE17EC" w14:textId="1FFBB040" w:rsidR="00EA4465" w:rsidRPr="00D606A7" w:rsidRDefault="00EA4465" w:rsidP="00D606A7">
      <w:pPr>
        <w:spacing w:line="480" w:lineRule="auto"/>
        <w:rPr>
          <w:rFonts w:ascii="Times New Roman" w:hAnsi="Times New Roman" w:cs="Times New Roman"/>
          <w:sz w:val="24"/>
          <w:szCs w:val="24"/>
        </w:rPr>
      </w:pPr>
      <w:r w:rsidRPr="00D606A7">
        <w:rPr>
          <w:rFonts w:ascii="Times New Roman" w:hAnsi="Times New Roman" w:cs="Times New Roman"/>
          <w:sz w:val="24"/>
          <w:szCs w:val="24"/>
        </w:rPr>
        <w:t xml:space="preserve">Verbal ability (VA) is the ability to accurately understand and effectively communicate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WSycUJER","properties":{"formattedCitation":"(20)","plainCitation":"(20)","noteIndex":0},"citationItems":[{"id":1250,"uris":["http://zotero.org/users/6436273/items/XJCSPUYI"],"uri":["http://zotero.org/users/6436273/items/XJCSPUYI"],"itemData":{"id":1250,"type":"article-journal","container-title":"Journal of Educational Psychology","DOI":"10.1037/0022-0663.95.4.833","ISSN":"1939-2176, 0022-0663","issue":"4","journalAbbreviation":"Journal of Educational Psychology","language":"en","page":"833-846","source":"DOI.org (Crossref)","title":"Three Facets of Visual and Verbal Learners: Cognitive Ability, Cognitive Style, and Learning Preference.","title-short":"Three Facets of Visual and Verbal Learners","volume":"95","author":[{"family":"Mayer","given":"Richard E."},{"family":"Massa","given":"Laura J."}],"issued":{"date-parts":[["2003"]]}}}],"schema":"https://github.com/citation-style-language/schema/raw/master/csl-citation.json"}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(20)</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In this study, VA was measured by a Vocabulary Task revised from a homonymous subtest of the Wechsler Intelligence Scale </w:t>
      </w:r>
      <w:r w:rsidRPr="00D606A7">
        <w:rPr>
          <w:rFonts w:ascii="Times New Roman" w:hAnsi="Times New Roman" w:cs="Times New Roman"/>
          <w:sz w:val="24"/>
          <w:szCs w:val="24"/>
        </w:rPr>
        <w:fldChar w:fldCharType="begin"/>
      </w:r>
      <w:r w:rsidR="00C12547">
        <w:rPr>
          <w:rFonts w:ascii="Times New Roman" w:hAnsi="Times New Roman" w:cs="Times New Roman"/>
          <w:sz w:val="24"/>
          <w:szCs w:val="24"/>
        </w:rPr>
        <w:instrText xml:space="preserve"> ADDIN ZOTERO_ITEM CSL_CITATION {"citationID":"t7XYlcGJ","properties":{"unsorted":true,"formattedCitation":"(12)","plainCitation":"(12)","noteIndex":0},"citationItems":[{"id":1225,"uris":["http://zotero.org/users/6436273/items/SCH85YDC"],"uri":["http://zotero.org/users/6436273/items/SCH85YDC"],"itemData":{"id":1225,"type":"book","abstract":"In preparing this third, \"war\" edition of the Measurement of Adult Intelligence my primary aim has been to increase the book's usefulness to those engaged in the field of applied psychometrics. I have borne in mind particularly the military applications of the Wechsler-Bellevue Scale, as it is now being used by some of the armed services of our own country as well as of Great Britain. Accordingly, most of the changes made will be found in the chapters dealing with Clinical applications and the Problem of mental deterioration. These chapters have been somewhat extended and in part rewritten. The table of 'signs' for different clinical entities has been completely revised and a new quantitative method for determining mental deterioration elaborated. Both of these presentations should be of value not only in the field of neuropsychiatric diagnosis but also in questions connected with rehabilitation. In addition to the above, some changes have been made in the scoring of certain subtests of the Scale. The effect of these changes will be to increase the I.Q. range at the upper end of the Scale, without however altering significantly the norms for the population as a whole. In the case of one or two tests (noticeably, the Arithmetic) the change has necessitated slight alteration in the scoring of some of the subtest items. Little alteration has otherwise been made in the substance of the text. One table and two figures which were not particularly useful have been omitted and two new tables which should be of immediate and practical value added. Also added is a bibliography of most of the important studies with the Wechsler-Bellevue Scale, published up to March 1944. (PsycINFO Database Record (c) 2016 APA, all rights reserved)","collection-title":"The measurement of adult intelligence, 3rd ed","event-place":"Baltimore, MD, US","note":"page: vii, 258\nDOI: 10.1037/11329-000","number-of-pages":"vii, 258","publisher":"Williams &amp; Wilkins Co","publisher-place":"Baltimore, MD, US","source":"APA PsycNET","title":"The measurement of adult intelligence, 3rd ed","author":[{"family":"Wechsler","given":"David"}],"issued":{"date-parts":[["1944"]]}}}],"schema":"https://github.com/citation-style-language/schema/raw/master/csl-citation.json"} </w:instrText>
      </w:r>
      <w:r w:rsidRPr="00D606A7">
        <w:rPr>
          <w:rFonts w:ascii="Times New Roman" w:hAnsi="Times New Roman" w:cs="Times New Roman"/>
          <w:sz w:val="24"/>
          <w:szCs w:val="24"/>
        </w:rPr>
        <w:fldChar w:fldCharType="separate"/>
      </w:r>
      <w:r w:rsidR="00C12547" w:rsidRPr="00C12547">
        <w:rPr>
          <w:rFonts w:ascii="Times New Roman" w:hAnsi="Times New Roman" w:cs="Times New Roman"/>
          <w:sz w:val="24"/>
        </w:rPr>
        <w:t>(12)</w:t>
      </w:r>
      <w:r w:rsidRPr="00D606A7">
        <w:rPr>
          <w:rFonts w:ascii="Times New Roman" w:hAnsi="Times New Roman" w:cs="Times New Roman"/>
          <w:sz w:val="24"/>
          <w:szCs w:val="24"/>
        </w:rPr>
        <w:fldChar w:fldCharType="end"/>
      </w:r>
      <w:r w:rsidRPr="00D606A7">
        <w:rPr>
          <w:rFonts w:ascii="Times New Roman" w:hAnsi="Times New Roman" w:cs="Times New Roman"/>
          <w:sz w:val="24"/>
          <w:szCs w:val="24"/>
        </w:rPr>
        <w:t xml:space="preserve">. </w:t>
      </w:r>
      <w:r w:rsidRPr="00D606A7">
        <w:rPr>
          <w:rFonts w:ascii="Times New Roman" w:hAnsi="Times New Roman" w:cs="Times New Roman"/>
          <w:sz w:val="24"/>
          <w:szCs w:val="24"/>
        </w:rPr>
        <w:lastRenderedPageBreak/>
        <w:t>During this test, some Chinese words would be presented one by one at the top of the screen, and five possible explanations for each word were displayed at the bottom of the screen. Subjects were asked to think carefully about the exact meaning of each word and then choose the most accurate explanation they thought. Among the five options, only one explanation was the most accurate with 2 scores; two were moderately accurate with 1 score; two were wrong with 0 score. There were altogether 36 words in this task, so the raw VA score ranged from 0 to 72. The final VA score included into analysis was converted to 0-19 based on the norm.</w:t>
      </w:r>
    </w:p>
    <w:p w14:paraId="59776A98" w14:textId="5541344A" w:rsidR="00E56500" w:rsidRPr="00D606A7" w:rsidRDefault="00EA4465" w:rsidP="00C12547">
      <w:pPr>
        <w:suppressLineNumbers/>
        <w:spacing w:line="480" w:lineRule="auto"/>
        <w:rPr>
          <w:rFonts w:ascii="Times New Roman" w:hAnsi="Times New Roman" w:cs="Times New Roman"/>
          <w:sz w:val="24"/>
          <w:szCs w:val="24"/>
        </w:rPr>
      </w:pPr>
      <w:r w:rsidRPr="00D606A7">
        <w:rPr>
          <w:rFonts w:ascii="Times New Roman" w:hAnsi="Times New Roman" w:cs="Times New Roman"/>
          <w:sz w:val="24"/>
          <w:szCs w:val="24"/>
        </w:rPr>
        <w:br w:type="page"/>
      </w:r>
    </w:p>
    <w:p w14:paraId="608BA218" w14:textId="5D6A20D7" w:rsidR="00C4744C" w:rsidRPr="00D606A7" w:rsidRDefault="00C4744C" w:rsidP="00D606A7">
      <w:pPr>
        <w:pStyle w:val="a3"/>
        <w:spacing w:after="0" w:line="480" w:lineRule="auto"/>
        <w:rPr>
          <w:rFonts w:ascii="Times New Roman" w:hAnsi="Times New Roman" w:cs="Times New Roman"/>
          <w:b/>
          <w:bCs/>
          <w:sz w:val="24"/>
          <w:szCs w:val="24"/>
        </w:rPr>
      </w:pPr>
      <w:r w:rsidRPr="00D606A7">
        <w:rPr>
          <w:rFonts w:ascii="Times New Roman" w:hAnsi="Times New Roman" w:cs="Times New Roman"/>
          <w:b/>
          <w:bCs/>
          <w:sz w:val="24"/>
          <w:szCs w:val="24"/>
        </w:rPr>
        <w:lastRenderedPageBreak/>
        <w:t>References</w:t>
      </w:r>
    </w:p>
    <w:p w14:paraId="6E3FDEEE" w14:textId="55096BED" w:rsidR="00C12547" w:rsidRPr="00C12547" w:rsidRDefault="00C4744C" w:rsidP="00C12547">
      <w:pPr>
        <w:pStyle w:val="a3"/>
        <w:rPr>
          <w:rFonts w:ascii="Times New Roman" w:hAnsi="Times New Roman" w:cs="Times New Roman"/>
          <w:sz w:val="24"/>
        </w:rPr>
      </w:pPr>
      <w:r w:rsidRPr="00D606A7">
        <w:fldChar w:fldCharType="begin"/>
      </w:r>
      <w:r w:rsidR="00C12547">
        <w:instrText xml:space="preserve"> ADDIN ZOTERO_BIBL {"uncited":[],"omitted":[],"custom":[]} CSL_BIBLIOGRAPHY </w:instrText>
      </w:r>
      <w:r w:rsidRPr="00D606A7">
        <w:fldChar w:fldCharType="separate"/>
      </w:r>
      <w:r w:rsidR="00C12547" w:rsidRPr="00C12547">
        <w:rPr>
          <w:rFonts w:ascii="Times New Roman" w:hAnsi="Times New Roman" w:cs="Times New Roman"/>
          <w:sz w:val="24"/>
        </w:rPr>
        <w:t xml:space="preserve">1. </w:t>
      </w:r>
      <w:r w:rsidR="00C12547" w:rsidRPr="00C12547">
        <w:rPr>
          <w:rFonts w:ascii="Times New Roman" w:hAnsi="Times New Roman" w:cs="Times New Roman"/>
          <w:sz w:val="24"/>
        </w:rPr>
        <w:tab/>
      </w:r>
      <w:bookmarkStart w:id="2" w:name="_Hlk56720986"/>
      <w:r w:rsidR="00C12547" w:rsidRPr="007E054C">
        <w:rPr>
          <w:rFonts w:ascii="Times New Roman" w:hAnsi="Times New Roman" w:cs="Times New Roman"/>
          <w:sz w:val="24"/>
          <w:szCs w:val="24"/>
        </w:rPr>
        <w:t xml:space="preserve">Craig CL, Marshall AL, </w:t>
      </w:r>
      <w:r w:rsidR="00C12547" w:rsidRPr="00502F2D">
        <w:rPr>
          <w:rFonts w:ascii="Times New Roman" w:hAnsi="Times New Roman" w:cs="Times New Roman"/>
          <w:sz w:val="24"/>
          <w:szCs w:val="24"/>
        </w:rPr>
        <w:t>Sjöström</w:t>
      </w:r>
      <w:r w:rsidR="00C12547" w:rsidRPr="007E054C">
        <w:rPr>
          <w:rFonts w:ascii="Times New Roman" w:hAnsi="Times New Roman" w:cs="Times New Roman"/>
          <w:sz w:val="24"/>
          <w:szCs w:val="24"/>
        </w:rPr>
        <w:t xml:space="preserve"> M, et al. International Physical Activity Questionnaire: 12-Country Reliability and Validity: </w:t>
      </w:r>
      <w:r w:rsidR="00C12547" w:rsidRPr="007E054C">
        <w:rPr>
          <w:rFonts w:ascii="Times New Roman" w:hAnsi="Times New Roman" w:cs="Times New Roman"/>
          <w:i/>
          <w:iCs/>
          <w:sz w:val="24"/>
          <w:szCs w:val="24"/>
        </w:rPr>
        <w:t>Med Sci Sports Exerc</w:t>
      </w:r>
      <w:r w:rsidR="00C12547" w:rsidRPr="007E054C">
        <w:rPr>
          <w:rFonts w:ascii="Times New Roman" w:hAnsi="Times New Roman" w:cs="Times New Roman"/>
          <w:sz w:val="24"/>
          <w:szCs w:val="24"/>
        </w:rPr>
        <w:t>. 2003;35(8):1381–95.</w:t>
      </w:r>
      <w:bookmarkEnd w:id="2"/>
    </w:p>
    <w:p w14:paraId="23583B03" w14:textId="0BE32548"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2. </w:t>
      </w:r>
      <w:r w:rsidRPr="00C12547">
        <w:rPr>
          <w:rFonts w:ascii="Times New Roman" w:hAnsi="Times New Roman" w:cs="Times New Roman"/>
          <w:sz w:val="24"/>
        </w:rPr>
        <w:tab/>
      </w:r>
      <w:bookmarkStart w:id="3" w:name="_Hlk56721000"/>
      <w:r w:rsidRPr="007E054C">
        <w:rPr>
          <w:rFonts w:ascii="Times New Roman" w:hAnsi="Times New Roman" w:cs="Times New Roman"/>
          <w:sz w:val="24"/>
          <w:szCs w:val="24"/>
        </w:rPr>
        <w:t xml:space="preserve">Lee PH, Macfarlane DJ, Lam T, Stewart SM. Validity of the international physical activity questionnaire short form (IPAQ-SF): A systematic review. </w:t>
      </w:r>
      <w:r w:rsidRPr="007E054C">
        <w:rPr>
          <w:rFonts w:ascii="Times New Roman" w:hAnsi="Times New Roman" w:cs="Times New Roman"/>
          <w:i/>
          <w:iCs/>
          <w:sz w:val="24"/>
          <w:szCs w:val="24"/>
        </w:rPr>
        <w:t>Int J Behav Nutr Phys Act</w:t>
      </w:r>
      <w:r w:rsidRPr="007E054C">
        <w:rPr>
          <w:rFonts w:ascii="Times New Roman" w:hAnsi="Times New Roman" w:cs="Times New Roman"/>
          <w:sz w:val="24"/>
          <w:szCs w:val="24"/>
        </w:rPr>
        <w:t>. 2011;8(1):115.</w:t>
      </w:r>
      <w:bookmarkEnd w:id="3"/>
    </w:p>
    <w:p w14:paraId="0ADCA0F5" w14:textId="528F2E64"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3. </w:t>
      </w:r>
      <w:r w:rsidRPr="00C12547">
        <w:rPr>
          <w:rFonts w:ascii="Times New Roman" w:hAnsi="Times New Roman" w:cs="Times New Roman"/>
          <w:sz w:val="24"/>
        </w:rPr>
        <w:tab/>
      </w:r>
      <w:r w:rsidRPr="007E054C">
        <w:rPr>
          <w:rFonts w:ascii="Times New Roman" w:hAnsi="Times New Roman" w:cs="Times New Roman"/>
          <w:sz w:val="24"/>
          <w:szCs w:val="24"/>
        </w:rPr>
        <w:t xml:space="preserve">Macfarlane DJ, Lee CCY, Ho EYK, Chan KL, Chan DTS. Reliability and validity of the Chinese version of IPAQ (short, last 7 days). </w:t>
      </w:r>
      <w:r w:rsidRPr="007E054C">
        <w:rPr>
          <w:rFonts w:ascii="Times New Roman" w:hAnsi="Times New Roman" w:cs="Times New Roman"/>
          <w:i/>
          <w:iCs/>
          <w:sz w:val="24"/>
          <w:szCs w:val="24"/>
        </w:rPr>
        <w:t>J Sci Med Sport</w:t>
      </w:r>
      <w:r w:rsidRPr="007E054C">
        <w:rPr>
          <w:rFonts w:ascii="Times New Roman" w:hAnsi="Times New Roman" w:cs="Times New Roman"/>
          <w:sz w:val="24"/>
          <w:szCs w:val="24"/>
        </w:rPr>
        <w:t>. 2007;10(1):45–51.</w:t>
      </w:r>
    </w:p>
    <w:p w14:paraId="4D1799B1" w14:textId="290C3541"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4. </w:t>
      </w:r>
      <w:r w:rsidRPr="00C12547">
        <w:rPr>
          <w:rFonts w:ascii="Times New Roman" w:hAnsi="Times New Roman" w:cs="Times New Roman"/>
          <w:sz w:val="24"/>
        </w:rPr>
        <w:tab/>
        <w:t xml:space="preserve">Zhang Y, Zhang H, Ma X, Di Q. Mental Health Problems during the COVID-19 Pandemics and the Mitigation Effects of Exercise: A Longitudinal Study of College Students in China. </w:t>
      </w:r>
      <w:r w:rsidRPr="007E054C">
        <w:rPr>
          <w:rFonts w:ascii="Times New Roman" w:hAnsi="Times New Roman" w:cs="Times New Roman"/>
          <w:i/>
          <w:iCs/>
          <w:sz w:val="24"/>
          <w:szCs w:val="24"/>
        </w:rPr>
        <w:t>I</w:t>
      </w:r>
      <w:r>
        <w:rPr>
          <w:rFonts w:ascii="Times New Roman" w:hAnsi="Times New Roman" w:cs="Times New Roman"/>
          <w:i/>
          <w:iCs/>
          <w:sz w:val="24"/>
          <w:szCs w:val="24"/>
        </w:rPr>
        <w:t>nt J Env Res Pub He</w:t>
      </w:r>
      <w:r w:rsidRPr="00C12547">
        <w:rPr>
          <w:rFonts w:ascii="Times New Roman" w:hAnsi="Times New Roman" w:cs="Times New Roman"/>
          <w:sz w:val="24"/>
        </w:rPr>
        <w:t>. 2020;17(10):3722.</w:t>
      </w:r>
    </w:p>
    <w:p w14:paraId="1D6FE81B" w14:textId="74E6D676"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5. </w:t>
      </w:r>
      <w:r w:rsidRPr="00C12547">
        <w:rPr>
          <w:rFonts w:ascii="Times New Roman" w:hAnsi="Times New Roman" w:cs="Times New Roman"/>
          <w:sz w:val="24"/>
        </w:rPr>
        <w:tab/>
      </w:r>
      <w:r w:rsidRPr="007E054C">
        <w:rPr>
          <w:rFonts w:ascii="Times New Roman" w:hAnsi="Times New Roman" w:cs="Times New Roman"/>
          <w:sz w:val="24"/>
          <w:szCs w:val="24"/>
        </w:rPr>
        <w:t xml:space="preserve">Ainsworth BE, Haskell WL, Whitt MC, et al. Compendium of Physical Activities: an update of activity codes and MET intensities: </w:t>
      </w:r>
      <w:r w:rsidRPr="007E054C">
        <w:rPr>
          <w:rFonts w:ascii="Times New Roman" w:hAnsi="Times New Roman" w:cs="Times New Roman"/>
          <w:i/>
          <w:iCs/>
          <w:sz w:val="24"/>
          <w:szCs w:val="24"/>
        </w:rPr>
        <w:t>Med Sci Sports Exerc</w:t>
      </w:r>
      <w:r w:rsidRPr="007E054C">
        <w:rPr>
          <w:rFonts w:ascii="Times New Roman" w:hAnsi="Times New Roman" w:cs="Times New Roman"/>
          <w:sz w:val="24"/>
          <w:szCs w:val="24"/>
        </w:rPr>
        <w:t>. 2000;32(Supplement):S498–516.</w:t>
      </w:r>
    </w:p>
    <w:p w14:paraId="69280E40" w14:textId="6DD8FA06"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6. </w:t>
      </w:r>
      <w:r w:rsidRPr="00C12547">
        <w:rPr>
          <w:rFonts w:ascii="Times New Roman" w:hAnsi="Times New Roman" w:cs="Times New Roman"/>
          <w:sz w:val="24"/>
        </w:rPr>
        <w:tab/>
      </w:r>
      <w:r w:rsidRPr="007E054C">
        <w:rPr>
          <w:rFonts w:ascii="Times New Roman" w:hAnsi="Times New Roman" w:cs="Times New Roman"/>
          <w:sz w:val="24"/>
          <w:szCs w:val="24"/>
        </w:rPr>
        <w:t xml:space="preserve">Zsido AN, Teleki SA, Csokasi K, Rozsa S, Bandi SA. Development of the short version of the spielberger state—trait anxiety inventory. </w:t>
      </w:r>
      <w:r w:rsidRPr="007E054C">
        <w:rPr>
          <w:rFonts w:ascii="Times New Roman" w:hAnsi="Times New Roman" w:cs="Times New Roman"/>
          <w:i/>
          <w:iCs/>
          <w:sz w:val="24"/>
          <w:szCs w:val="24"/>
        </w:rPr>
        <w:t>Psychiatry Res</w:t>
      </w:r>
      <w:r>
        <w:rPr>
          <w:rFonts w:ascii="Times New Roman" w:hAnsi="Times New Roman" w:cs="Times New Roman"/>
          <w:i/>
          <w:iCs/>
          <w:sz w:val="24"/>
          <w:szCs w:val="24"/>
        </w:rPr>
        <w:t>.</w:t>
      </w:r>
      <w:r w:rsidRPr="007E054C">
        <w:rPr>
          <w:rFonts w:ascii="Times New Roman" w:hAnsi="Times New Roman" w:cs="Times New Roman"/>
          <w:sz w:val="24"/>
          <w:szCs w:val="24"/>
        </w:rPr>
        <w:t xml:space="preserve"> 2020;291:113223.</w:t>
      </w:r>
    </w:p>
    <w:p w14:paraId="40B7A12A" w14:textId="1CF71635"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7. </w:t>
      </w:r>
      <w:r w:rsidRPr="00C12547">
        <w:rPr>
          <w:rFonts w:ascii="Times New Roman" w:hAnsi="Times New Roman" w:cs="Times New Roman"/>
          <w:sz w:val="24"/>
        </w:rPr>
        <w:tab/>
      </w:r>
      <w:r w:rsidRPr="007E054C">
        <w:rPr>
          <w:rFonts w:ascii="Times New Roman" w:hAnsi="Times New Roman" w:cs="Times New Roman"/>
          <w:sz w:val="24"/>
          <w:szCs w:val="24"/>
        </w:rPr>
        <w:t xml:space="preserve">Ma W-F, Liu Y-C, Chen Y-F, Lane H-Y, Lai T-J, Huang L-C. Evaluation of psychometric properties of the Chinese Mandarin version State-Trait Anxiety Inventory Y form in Taiwanese outpatients with anxiety disorders: CMSTAI-Y for patients with anxiety disorders. </w:t>
      </w:r>
      <w:r w:rsidRPr="007E054C">
        <w:rPr>
          <w:rFonts w:ascii="Times New Roman" w:hAnsi="Times New Roman" w:cs="Times New Roman"/>
          <w:i/>
          <w:iCs/>
          <w:sz w:val="24"/>
          <w:szCs w:val="24"/>
        </w:rPr>
        <w:t>J Psychiatr Ment Health Nurs</w:t>
      </w:r>
      <w:r w:rsidRPr="007E054C">
        <w:rPr>
          <w:rFonts w:ascii="Times New Roman" w:hAnsi="Times New Roman" w:cs="Times New Roman"/>
          <w:sz w:val="24"/>
          <w:szCs w:val="24"/>
        </w:rPr>
        <w:t>. 2013;20(6):499–507.</w:t>
      </w:r>
    </w:p>
    <w:p w14:paraId="5FAEA205" w14:textId="6102AF52"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8. </w:t>
      </w:r>
      <w:r w:rsidRPr="00C12547">
        <w:rPr>
          <w:rFonts w:ascii="Times New Roman" w:hAnsi="Times New Roman" w:cs="Times New Roman"/>
          <w:sz w:val="24"/>
        </w:rPr>
        <w:tab/>
        <w:t xml:space="preserve">Cohen S, Kamarck T, Mermelstein R. A Global Measure of Perceived Stress. </w:t>
      </w:r>
      <w:r w:rsidRPr="00C12547">
        <w:rPr>
          <w:rFonts w:ascii="Times New Roman" w:hAnsi="Times New Roman" w:cs="Times New Roman"/>
          <w:i/>
          <w:iCs/>
          <w:sz w:val="24"/>
        </w:rPr>
        <w:t>J Health Soc</w:t>
      </w:r>
      <w:r>
        <w:rPr>
          <w:rFonts w:ascii="Times New Roman" w:hAnsi="Times New Roman" w:cs="Times New Roman"/>
          <w:i/>
          <w:iCs/>
          <w:sz w:val="24"/>
        </w:rPr>
        <w:t xml:space="preserve"> </w:t>
      </w:r>
      <w:r w:rsidRPr="00C12547">
        <w:rPr>
          <w:rFonts w:ascii="Times New Roman" w:hAnsi="Times New Roman" w:cs="Times New Roman"/>
          <w:i/>
          <w:iCs/>
          <w:sz w:val="24"/>
        </w:rPr>
        <w:t>Behav</w:t>
      </w:r>
      <w:r w:rsidRPr="00C12547">
        <w:rPr>
          <w:rFonts w:ascii="Times New Roman" w:hAnsi="Times New Roman" w:cs="Times New Roman"/>
          <w:sz w:val="24"/>
        </w:rPr>
        <w:t>. 1983;24(4):385.</w:t>
      </w:r>
    </w:p>
    <w:p w14:paraId="498A8AE2" w14:textId="77777777"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9. </w:t>
      </w:r>
      <w:r w:rsidRPr="00C12547">
        <w:rPr>
          <w:rFonts w:ascii="Times New Roman" w:hAnsi="Times New Roman" w:cs="Times New Roman"/>
          <w:sz w:val="24"/>
        </w:rPr>
        <w:tab/>
        <w:t xml:space="preserve">Wang Z, Chen J, Boyd JE, et al. Psychometric Properties of the Chinese Version of the Perceived Stress Scale in Policewomen. </w:t>
      </w:r>
      <w:r w:rsidRPr="00C12547">
        <w:rPr>
          <w:rFonts w:ascii="Times New Roman" w:hAnsi="Times New Roman" w:cs="Times New Roman"/>
          <w:i/>
          <w:iCs/>
          <w:sz w:val="24"/>
        </w:rPr>
        <w:t>PLoS ONE</w:t>
      </w:r>
      <w:r w:rsidRPr="00C12547">
        <w:rPr>
          <w:rFonts w:ascii="Times New Roman" w:hAnsi="Times New Roman" w:cs="Times New Roman"/>
          <w:sz w:val="24"/>
        </w:rPr>
        <w:t>. 2011;6(12):e28610.</w:t>
      </w:r>
    </w:p>
    <w:p w14:paraId="62FEDD9C" w14:textId="77777777"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10. </w:t>
      </w:r>
      <w:r w:rsidRPr="00C12547">
        <w:rPr>
          <w:rFonts w:ascii="Times New Roman" w:hAnsi="Times New Roman" w:cs="Times New Roman"/>
          <w:sz w:val="24"/>
        </w:rPr>
        <w:tab/>
        <w:t xml:space="preserve">Lu W, Bian Q, Wang W, Wu X, Wang Z, Zhao M. Chinese version of the Perceived Stress Scale-10: A psychometric study in Chinese university students. </w:t>
      </w:r>
      <w:r w:rsidRPr="00C12547">
        <w:rPr>
          <w:rFonts w:ascii="Times New Roman" w:hAnsi="Times New Roman" w:cs="Times New Roman"/>
          <w:i/>
          <w:iCs/>
          <w:sz w:val="24"/>
        </w:rPr>
        <w:t>PLoS ONE</w:t>
      </w:r>
      <w:r w:rsidRPr="00C12547">
        <w:rPr>
          <w:rFonts w:ascii="Times New Roman" w:hAnsi="Times New Roman" w:cs="Times New Roman"/>
          <w:sz w:val="24"/>
        </w:rPr>
        <w:t>. 2017;12(12):e0189543.</w:t>
      </w:r>
    </w:p>
    <w:p w14:paraId="66889DE2" w14:textId="33A83748"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11. </w:t>
      </w:r>
      <w:r w:rsidRPr="00C12547">
        <w:rPr>
          <w:rFonts w:ascii="Times New Roman" w:hAnsi="Times New Roman" w:cs="Times New Roman"/>
          <w:sz w:val="24"/>
        </w:rPr>
        <w:tab/>
        <w:t xml:space="preserve">Roivainen E. Gender differences in processing speed: A review of recent research. </w:t>
      </w:r>
      <w:r w:rsidRPr="00C12547">
        <w:rPr>
          <w:rFonts w:ascii="Times New Roman" w:hAnsi="Times New Roman" w:cs="Times New Roman"/>
          <w:i/>
          <w:iCs/>
          <w:sz w:val="24"/>
        </w:rPr>
        <w:t>Learn Individ Differ</w:t>
      </w:r>
      <w:r w:rsidRPr="00C12547">
        <w:rPr>
          <w:rFonts w:ascii="Times New Roman" w:hAnsi="Times New Roman" w:cs="Times New Roman"/>
          <w:sz w:val="24"/>
        </w:rPr>
        <w:t>. 2011;21(2):145–9.</w:t>
      </w:r>
    </w:p>
    <w:p w14:paraId="221DDCBE" w14:textId="77777777"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12. </w:t>
      </w:r>
      <w:r w:rsidRPr="00C12547">
        <w:rPr>
          <w:rFonts w:ascii="Times New Roman" w:hAnsi="Times New Roman" w:cs="Times New Roman"/>
          <w:sz w:val="24"/>
        </w:rPr>
        <w:tab/>
        <w:t xml:space="preserve">Wechsler D. </w:t>
      </w:r>
      <w:r w:rsidRPr="00C12547">
        <w:rPr>
          <w:rFonts w:ascii="Times New Roman" w:hAnsi="Times New Roman" w:cs="Times New Roman"/>
          <w:i/>
          <w:iCs/>
          <w:sz w:val="24"/>
        </w:rPr>
        <w:t>The measurement of adult intelligence, 3rd ed</w:t>
      </w:r>
      <w:r w:rsidRPr="00C12547">
        <w:rPr>
          <w:rFonts w:ascii="Times New Roman" w:hAnsi="Times New Roman" w:cs="Times New Roman"/>
          <w:sz w:val="24"/>
        </w:rPr>
        <w:t>. Baltimore, MD, US: Williams &amp; Wilkins Co; 1944. vii, 258 p.</w:t>
      </w:r>
    </w:p>
    <w:p w14:paraId="6EAA1F3D" w14:textId="1F6C3F79"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13. </w:t>
      </w:r>
      <w:r w:rsidRPr="00C12547">
        <w:rPr>
          <w:rFonts w:ascii="Times New Roman" w:hAnsi="Times New Roman" w:cs="Times New Roman"/>
          <w:sz w:val="24"/>
        </w:rPr>
        <w:tab/>
        <w:t xml:space="preserve">Daneman M, Carpenter PA. Individual differences in working memory and reading. </w:t>
      </w:r>
      <w:r w:rsidRPr="00C12547">
        <w:rPr>
          <w:rFonts w:ascii="Times New Roman" w:hAnsi="Times New Roman" w:cs="Times New Roman"/>
          <w:i/>
          <w:iCs/>
          <w:sz w:val="24"/>
        </w:rPr>
        <w:t>J Verbal Learn Verbal Behav</w:t>
      </w:r>
      <w:r w:rsidRPr="00C12547">
        <w:rPr>
          <w:rFonts w:ascii="Times New Roman" w:hAnsi="Times New Roman" w:cs="Times New Roman"/>
          <w:sz w:val="24"/>
        </w:rPr>
        <w:t>. 1980;19(4):450–66.</w:t>
      </w:r>
    </w:p>
    <w:p w14:paraId="0F7D6C89" w14:textId="6CE2D58B"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14. </w:t>
      </w:r>
      <w:r w:rsidRPr="00C12547">
        <w:rPr>
          <w:rFonts w:ascii="Times New Roman" w:hAnsi="Times New Roman" w:cs="Times New Roman"/>
          <w:sz w:val="24"/>
        </w:rPr>
        <w:tab/>
        <w:t xml:space="preserve">Turner ML, Engle RW. Is working memory capacity task dependent? </w:t>
      </w:r>
      <w:r w:rsidRPr="00C12547">
        <w:rPr>
          <w:rFonts w:ascii="Times New Roman" w:hAnsi="Times New Roman" w:cs="Times New Roman"/>
          <w:i/>
          <w:iCs/>
          <w:sz w:val="24"/>
        </w:rPr>
        <w:t>J Mem Lang</w:t>
      </w:r>
      <w:r w:rsidRPr="00C12547">
        <w:rPr>
          <w:rFonts w:ascii="Times New Roman" w:hAnsi="Times New Roman" w:cs="Times New Roman"/>
          <w:sz w:val="24"/>
        </w:rPr>
        <w:t>. 1989;28(2):127–54.</w:t>
      </w:r>
    </w:p>
    <w:p w14:paraId="59B98388" w14:textId="1650527B"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15. </w:t>
      </w:r>
      <w:r w:rsidRPr="00C12547">
        <w:rPr>
          <w:rFonts w:ascii="Times New Roman" w:hAnsi="Times New Roman" w:cs="Times New Roman"/>
          <w:sz w:val="24"/>
        </w:rPr>
        <w:tab/>
        <w:t xml:space="preserve">Unsworth N, Heitz RP, Schrock JC, Engle RW. An automated version of the operation span task. </w:t>
      </w:r>
      <w:r w:rsidRPr="00C12547">
        <w:rPr>
          <w:rFonts w:ascii="Times New Roman" w:hAnsi="Times New Roman" w:cs="Times New Roman"/>
          <w:i/>
          <w:iCs/>
          <w:sz w:val="24"/>
        </w:rPr>
        <w:t>Behav Res</w:t>
      </w:r>
      <w:r w:rsidR="00210D32">
        <w:rPr>
          <w:rFonts w:ascii="Times New Roman" w:hAnsi="Times New Roman" w:cs="Times New Roman"/>
          <w:i/>
          <w:iCs/>
          <w:sz w:val="24"/>
        </w:rPr>
        <w:t xml:space="preserve"> </w:t>
      </w:r>
      <w:r w:rsidRPr="00C12547">
        <w:rPr>
          <w:rFonts w:ascii="Times New Roman" w:hAnsi="Times New Roman" w:cs="Times New Roman"/>
          <w:i/>
          <w:iCs/>
          <w:sz w:val="24"/>
        </w:rPr>
        <w:t>Methods</w:t>
      </w:r>
      <w:r w:rsidRPr="00C12547">
        <w:rPr>
          <w:rFonts w:ascii="Times New Roman" w:hAnsi="Times New Roman" w:cs="Times New Roman"/>
          <w:sz w:val="24"/>
        </w:rPr>
        <w:t>. 2005;37(3):498–505.</w:t>
      </w:r>
    </w:p>
    <w:p w14:paraId="3CF7E85A" w14:textId="269479BF"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16. </w:t>
      </w:r>
      <w:r w:rsidRPr="00C12547">
        <w:rPr>
          <w:rFonts w:ascii="Times New Roman" w:hAnsi="Times New Roman" w:cs="Times New Roman"/>
          <w:sz w:val="24"/>
        </w:rPr>
        <w:tab/>
      </w:r>
      <w:r w:rsidR="00210D32" w:rsidRPr="007E054C">
        <w:rPr>
          <w:rFonts w:ascii="Times New Roman" w:hAnsi="Times New Roman" w:cs="Times New Roman"/>
          <w:sz w:val="24"/>
          <w:szCs w:val="24"/>
        </w:rPr>
        <w:t>Tulving E, Markowitsch HJ. Episodic and declarative memory: Role of the hippocampus.</w:t>
      </w:r>
      <w:r w:rsidR="00210D32" w:rsidRPr="00B22316">
        <w:rPr>
          <w:rFonts w:ascii="Times New Roman" w:hAnsi="Times New Roman" w:cs="Times New Roman"/>
          <w:sz w:val="24"/>
          <w:szCs w:val="24"/>
        </w:rPr>
        <w:t xml:space="preserve"> </w:t>
      </w:r>
      <w:r w:rsidR="00210D32" w:rsidRPr="00B22316">
        <w:rPr>
          <w:rFonts w:ascii="Times New Roman" w:hAnsi="Times New Roman" w:cs="Times New Roman"/>
          <w:i/>
          <w:iCs/>
          <w:sz w:val="24"/>
          <w:szCs w:val="24"/>
        </w:rPr>
        <w:t>Hippocampus</w:t>
      </w:r>
      <w:r w:rsidR="00210D32">
        <w:rPr>
          <w:rFonts w:ascii="Times New Roman" w:hAnsi="Times New Roman" w:cs="Times New Roman"/>
          <w:sz w:val="24"/>
          <w:szCs w:val="24"/>
        </w:rPr>
        <w:t>. 1998</w:t>
      </w:r>
      <w:r w:rsidR="00210D32" w:rsidRPr="00B1368F">
        <w:rPr>
          <w:rFonts w:ascii="Times New Roman" w:hAnsi="Times New Roman" w:cs="Times New Roman"/>
          <w:sz w:val="24"/>
          <w:szCs w:val="24"/>
        </w:rPr>
        <w:t>;</w:t>
      </w:r>
      <w:r w:rsidR="00210D32">
        <w:rPr>
          <w:rFonts w:ascii="Times New Roman" w:hAnsi="Times New Roman" w:cs="Times New Roman"/>
          <w:sz w:val="24"/>
          <w:szCs w:val="24"/>
        </w:rPr>
        <w:t xml:space="preserve"> 8:194-204</w:t>
      </w:r>
      <w:r w:rsidRPr="00C12547">
        <w:rPr>
          <w:rFonts w:ascii="Times New Roman" w:hAnsi="Times New Roman" w:cs="Times New Roman"/>
          <w:sz w:val="24"/>
        </w:rPr>
        <w:t>.</w:t>
      </w:r>
    </w:p>
    <w:p w14:paraId="0D998669" w14:textId="5EFDDD3F"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17. </w:t>
      </w:r>
      <w:r w:rsidRPr="00C12547">
        <w:rPr>
          <w:rFonts w:ascii="Times New Roman" w:hAnsi="Times New Roman" w:cs="Times New Roman"/>
          <w:sz w:val="24"/>
        </w:rPr>
        <w:tab/>
        <w:t xml:space="preserve">Wechsler D. A Standardized Memory Scale for Clinical Use. </w:t>
      </w:r>
      <w:r w:rsidRPr="00C12547">
        <w:rPr>
          <w:rFonts w:ascii="Times New Roman" w:hAnsi="Times New Roman" w:cs="Times New Roman"/>
          <w:i/>
          <w:iCs/>
          <w:sz w:val="24"/>
        </w:rPr>
        <w:t>J Psychol</w:t>
      </w:r>
      <w:r w:rsidRPr="00C12547">
        <w:rPr>
          <w:rFonts w:ascii="Times New Roman" w:hAnsi="Times New Roman" w:cs="Times New Roman"/>
          <w:sz w:val="24"/>
        </w:rPr>
        <w:t>. 1945;19(1):87–95.</w:t>
      </w:r>
    </w:p>
    <w:p w14:paraId="55C62915" w14:textId="77777777"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lastRenderedPageBreak/>
        <w:t xml:space="preserve">18. </w:t>
      </w:r>
      <w:r w:rsidRPr="00C12547">
        <w:rPr>
          <w:rFonts w:ascii="Times New Roman" w:hAnsi="Times New Roman" w:cs="Times New Roman"/>
          <w:sz w:val="24"/>
        </w:rPr>
        <w:tab/>
        <w:t xml:space="preserve">Salthouse TA, Babcock RL, Mitchell DRD, Palmon R, Skovronek E. Sources of individual differences in spatial visualization ability. </w:t>
      </w:r>
      <w:r w:rsidRPr="00C12547">
        <w:rPr>
          <w:rFonts w:ascii="Times New Roman" w:hAnsi="Times New Roman" w:cs="Times New Roman"/>
          <w:i/>
          <w:iCs/>
          <w:sz w:val="24"/>
        </w:rPr>
        <w:t>Intelligence</w:t>
      </w:r>
      <w:r w:rsidRPr="00C12547">
        <w:rPr>
          <w:rFonts w:ascii="Times New Roman" w:hAnsi="Times New Roman" w:cs="Times New Roman"/>
          <w:sz w:val="24"/>
        </w:rPr>
        <w:t>. 1990;14(2):187–230.</w:t>
      </w:r>
    </w:p>
    <w:p w14:paraId="2E22FAA6" w14:textId="08F1C06A"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19. </w:t>
      </w:r>
      <w:r w:rsidRPr="00C12547">
        <w:rPr>
          <w:rFonts w:ascii="Times New Roman" w:hAnsi="Times New Roman" w:cs="Times New Roman"/>
          <w:sz w:val="24"/>
        </w:rPr>
        <w:tab/>
      </w:r>
      <w:r w:rsidR="00A14F8C" w:rsidRPr="00A14F8C">
        <w:rPr>
          <w:rFonts w:ascii="Times New Roman" w:hAnsi="Times New Roman" w:cs="Times New Roman"/>
          <w:sz w:val="24"/>
        </w:rPr>
        <w:t>Ekstrom</w:t>
      </w:r>
      <w:r w:rsidR="00A14F8C">
        <w:rPr>
          <w:rFonts w:ascii="Times New Roman" w:hAnsi="Times New Roman" w:cs="Times New Roman"/>
          <w:sz w:val="24"/>
        </w:rPr>
        <w:t xml:space="preserve"> RB, </w:t>
      </w:r>
      <w:r w:rsidR="00A14F8C" w:rsidRPr="00A14F8C">
        <w:rPr>
          <w:rFonts w:ascii="Times New Roman" w:hAnsi="Times New Roman" w:cs="Times New Roman"/>
          <w:sz w:val="24"/>
        </w:rPr>
        <w:t>French</w:t>
      </w:r>
      <w:r w:rsidR="00A14F8C">
        <w:rPr>
          <w:rFonts w:ascii="Times New Roman" w:hAnsi="Times New Roman" w:cs="Times New Roman"/>
          <w:sz w:val="24"/>
        </w:rPr>
        <w:t xml:space="preserve"> JW, </w:t>
      </w:r>
      <w:r w:rsidR="00A14F8C" w:rsidRPr="00A14F8C">
        <w:rPr>
          <w:rFonts w:ascii="Times New Roman" w:hAnsi="Times New Roman" w:cs="Times New Roman"/>
          <w:sz w:val="24"/>
        </w:rPr>
        <w:t>Harman</w:t>
      </w:r>
      <w:r w:rsidR="00A14F8C">
        <w:rPr>
          <w:rFonts w:ascii="Times New Roman" w:hAnsi="Times New Roman" w:cs="Times New Roman"/>
          <w:sz w:val="24"/>
        </w:rPr>
        <w:t xml:space="preserve"> HH, et al.</w:t>
      </w:r>
      <w:r w:rsidR="00A14F8C" w:rsidRPr="00A14F8C">
        <w:rPr>
          <w:rFonts w:ascii="Times New Roman" w:hAnsi="Times New Roman" w:cs="Times New Roman"/>
          <w:sz w:val="24"/>
        </w:rPr>
        <w:t xml:space="preserve"> </w:t>
      </w:r>
      <w:r w:rsidRPr="00C12547">
        <w:rPr>
          <w:rFonts w:ascii="Times New Roman" w:hAnsi="Times New Roman" w:cs="Times New Roman"/>
          <w:sz w:val="24"/>
        </w:rPr>
        <w:t>Manual</w:t>
      </w:r>
      <w:r w:rsidR="00A0499A">
        <w:rPr>
          <w:rFonts w:ascii="Times New Roman" w:hAnsi="Times New Roman" w:cs="Times New Roman"/>
          <w:sz w:val="24"/>
        </w:rPr>
        <w:t xml:space="preserve"> </w:t>
      </w:r>
      <w:r w:rsidRPr="00C12547">
        <w:rPr>
          <w:rFonts w:ascii="Times New Roman" w:hAnsi="Times New Roman" w:cs="Times New Roman"/>
          <w:sz w:val="24"/>
        </w:rPr>
        <w:t>for</w:t>
      </w:r>
      <w:r w:rsidR="00A0499A">
        <w:rPr>
          <w:rFonts w:ascii="Times New Roman" w:hAnsi="Times New Roman" w:cs="Times New Roman"/>
          <w:sz w:val="24"/>
        </w:rPr>
        <w:t xml:space="preserve"> </w:t>
      </w:r>
      <w:r w:rsidRPr="00C12547">
        <w:rPr>
          <w:rFonts w:ascii="Times New Roman" w:hAnsi="Times New Roman" w:cs="Times New Roman"/>
          <w:sz w:val="24"/>
        </w:rPr>
        <w:t>Kit</w:t>
      </w:r>
      <w:r w:rsidR="00A0499A">
        <w:rPr>
          <w:rFonts w:ascii="Times New Roman" w:hAnsi="Times New Roman" w:cs="Times New Roman"/>
          <w:sz w:val="24"/>
        </w:rPr>
        <w:t xml:space="preserve"> </w:t>
      </w:r>
      <w:r w:rsidRPr="00C12547">
        <w:rPr>
          <w:rFonts w:ascii="Times New Roman" w:hAnsi="Times New Roman" w:cs="Times New Roman"/>
          <w:sz w:val="24"/>
        </w:rPr>
        <w:t>of</w:t>
      </w:r>
      <w:r w:rsidR="00A0499A">
        <w:rPr>
          <w:rFonts w:ascii="Times New Roman" w:hAnsi="Times New Roman" w:cs="Times New Roman"/>
          <w:sz w:val="24"/>
        </w:rPr>
        <w:t xml:space="preserve"> </w:t>
      </w:r>
      <w:r w:rsidRPr="00C12547">
        <w:rPr>
          <w:rFonts w:ascii="Times New Roman" w:hAnsi="Times New Roman" w:cs="Times New Roman"/>
          <w:sz w:val="24"/>
        </w:rPr>
        <w:t>Factor-Referenced</w:t>
      </w:r>
      <w:r w:rsidR="00A0499A">
        <w:rPr>
          <w:rFonts w:ascii="Times New Roman" w:hAnsi="Times New Roman" w:cs="Times New Roman"/>
          <w:sz w:val="24"/>
        </w:rPr>
        <w:t xml:space="preserve"> </w:t>
      </w:r>
      <w:r w:rsidRPr="00C12547">
        <w:rPr>
          <w:rFonts w:ascii="Times New Roman" w:hAnsi="Times New Roman" w:cs="Times New Roman"/>
          <w:sz w:val="24"/>
        </w:rPr>
        <w:t>Cognitive</w:t>
      </w:r>
      <w:r w:rsidR="00A0499A">
        <w:rPr>
          <w:rFonts w:ascii="Times New Roman" w:hAnsi="Times New Roman" w:cs="Times New Roman"/>
          <w:sz w:val="24"/>
        </w:rPr>
        <w:t xml:space="preserve"> </w:t>
      </w:r>
      <w:r w:rsidRPr="00C12547">
        <w:rPr>
          <w:rFonts w:ascii="Times New Roman" w:hAnsi="Times New Roman" w:cs="Times New Roman"/>
          <w:sz w:val="24"/>
        </w:rPr>
        <w:t xml:space="preserve">Tests. </w:t>
      </w:r>
      <w:r w:rsidR="00A14F8C">
        <w:rPr>
          <w:rFonts w:ascii="Times New Roman" w:hAnsi="Times New Roman" w:cs="Times New Roman"/>
          <w:sz w:val="24"/>
        </w:rPr>
        <w:t xml:space="preserve">1976. </w:t>
      </w:r>
      <w:r w:rsidRPr="00C12547">
        <w:rPr>
          <w:rFonts w:ascii="Times New Roman" w:hAnsi="Times New Roman" w:cs="Times New Roman"/>
          <w:sz w:val="24"/>
        </w:rPr>
        <w:t>http://www.ets.org/Media/Research/pdf/Manual_for_Kit_of_Factor-Referenced_Cognitive_Tests.pdf.</w:t>
      </w:r>
    </w:p>
    <w:p w14:paraId="0EF67AFD" w14:textId="6D1258DE" w:rsidR="00C12547" w:rsidRPr="00C12547" w:rsidRDefault="00C12547" w:rsidP="00C12547">
      <w:pPr>
        <w:pStyle w:val="a3"/>
        <w:rPr>
          <w:rFonts w:ascii="Times New Roman" w:hAnsi="Times New Roman" w:cs="Times New Roman"/>
          <w:sz w:val="24"/>
        </w:rPr>
      </w:pPr>
      <w:r w:rsidRPr="00C12547">
        <w:rPr>
          <w:rFonts w:ascii="Times New Roman" w:hAnsi="Times New Roman" w:cs="Times New Roman"/>
          <w:sz w:val="24"/>
        </w:rPr>
        <w:t xml:space="preserve">20. </w:t>
      </w:r>
      <w:r w:rsidRPr="00C12547">
        <w:rPr>
          <w:rFonts w:ascii="Times New Roman" w:hAnsi="Times New Roman" w:cs="Times New Roman"/>
          <w:sz w:val="24"/>
        </w:rPr>
        <w:tab/>
        <w:t xml:space="preserve">Mayer RE, Massa LJ. Three Facets of Visual and Verbal Learners: Cognitive Ability, Cognitive Style, and Learning Preference. </w:t>
      </w:r>
      <w:r w:rsidRPr="00C12547">
        <w:rPr>
          <w:rFonts w:ascii="Times New Roman" w:hAnsi="Times New Roman" w:cs="Times New Roman"/>
          <w:i/>
          <w:iCs/>
          <w:sz w:val="24"/>
        </w:rPr>
        <w:t>J Educ Psychol</w:t>
      </w:r>
      <w:r w:rsidRPr="00C12547">
        <w:rPr>
          <w:rFonts w:ascii="Times New Roman" w:hAnsi="Times New Roman" w:cs="Times New Roman"/>
          <w:sz w:val="24"/>
        </w:rPr>
        <w:t>. 2003;95(4):833–46.</w:t>
      </w:r>
    </w:p>
    <w:p w14:paraId="0526F1EA" w14:textId="4390B329" w:rsidR="00F251FE" w:rsidRPr="006656FA" w:rsidRDefault="00C4744C" w:rsidP="006656FA">
      <w:pPr>
        <w:suppressLineNumbers/>
        <w:spacing w:line="480" w:lineRule="auto"/>
        <w:rPr>
          <w:rFonts w:ascii="Times New Roman" w:hAnsi="Times New Roman" w:cs="Times New Roman"/>
          <w:sz w:val="24"/>
          <w:szCs w:val="24"/>
        </w:rPr>
      </w:pPr>
      <w:r w:rsidRPr="00D606A7">
        <w:rPr>
          <w:rFonts w:ascii="Times New Roman" w:hAnsi="Times New Roman" w:cs="Times New Roman"/>
          <w:sz w:val="24"/>
          <w:szCs w:val="24"/>
        </w:rPr>
        <w:fldChar w:fldCharType="end"/>
      </w:r>
    </w:p>
    <w:sectPr w:rsidR="00F251FE" w:rsidRPr="006656FA" w:rsidSect="00C12547">
      <w:pgSz w:w="11906" w:h="16838"/>
      <w:pgMar w:top="567" w:right="567" w:bottom="567" w:left="567"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51D85" w14:textId="77777777" w:rsidR="009F3E8E" w:rsidRDefault="009F3E8E" w:rsidP="00F40A0D">
      <w:r>
        <w:separator/>
      </w:r>
    </w:p>
  </w:endnote>
  <w:endnote w:type="continuationSeparator" w:id="0">
    <w:p w14:paraId="68FFBCDF" w14:textId="77777777" w:rsidR="009F3E8E" w:rsidRDefault="009F3E8E" w:rsidP="00F4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C77D2" w14:textId="77777777" w:rsidR="009F3E8E" w:rsidRDefault="009F3E8E" w:rsidP="00F40A0D">
      <w:r>
        <w:separator/>
      </w:r>
    </w:p>
  </w:footnote>
  <w:footnote w:type="continuationSeparator" w:id="0">
    <w:p w14:paraId="01EBABCC" w14:textId="77777777" w:rsidR="009F3E8E" w:rsidRDefault="009F3E8E" w:rsidP="00F40A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465"/>
    <w:rsid w:val="001261F4"/>
    <w:rsid w:val="00127DA5"/>
    <w:rsid w:val="001A65CB"/>
    <w:rsid w:val="00210D32"/>
    <w:rsid w:val="0021440A"/>
    <w:rsid w:val="0030247E"/>
    <w:rsid w:val="00356524"/>
    <w:rsid w:val="00411D36"/>
    <w:rsid w:val="004F7686"/>
    <w:rsid w:val="00520D27"/>
    <w:rsid w:val="00582729"/>
    <w:rsid w:val="006527AB"/>
    <w:rsid w:val="006656FA"/>
    <w:rsid w:val="006A6EEC"/>
    <w:rsid w:val="007435EB"/>
    <w:rsid w:val="007871B4"/>
    <w:rsid w:val="0081044B"/>
    <w:rsid w:val="00892CCD"/>
    <w:rsid w:val="0094551F"/>
    <w:rsid w:val="009B32B6"/>
    <w:rsid w:val="009F3E8E"/>
    <w:rsid w:val="00A0499A"/>
    <w:rsid w:val="00A14F8C"/>
    <w:rsid w:val="00A52DCD"/>
    <w:rsid w:val="00BB77B9"/>
    <w:rsid w:val="00C12547"/>
    <w:rsid w:val="00C17954"/>
    <w:rsid w:val="00C4744C"/>
    <w:rsid w:val="00C92346"/>
    <w:rsid w:val="00C94B16"/>
    <w:rsid w:val="00CC5F76"/>
    <w:rsid w:val="00D4193F"/>
    <w:rsid w:val="00D43DBC"/>
    <w:rsid w:val="00D606A7"/>
    <w:rsid w:val="00D904A2"/>
    <w:rsid w:val="00E17A77"/>
    <w:rsid w:val="00E56500"/>
    <w:rsid w:val="00EA4465"/>
    <w:rsid w:val="00EE016D"/>
    <w:rsid w:val="00F154E2"/>
    <w:rsid w:val="00F251FE"/>
    <w:rsid w:val="00F4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38A55"/>
  <w15:chartTrackingRefBased/>
  <w15:docId w15:val="{6521F61C-8C02-4FA6-A352-86F016A3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4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ibliography"/>
    <w:basedOn w:val="a"/>
    <w:next w:val="a"/>
    <w:uiPriority w:val="37"/>
    <w:unhideWhenUsed/>
    <w:rsid w:val="00EA4465"/>
    <w:pPr>
      <w:tabs>
        <w:tab w:val="left" w:pos="504"/>
      </w:tabs>
      <w:spacing w:after="240"/>
      <w:ind w:left="504" w:hanging="504"/>
    </w:pPr>
  </w:style>
  <w:style w:type="character" w:styleId="a4">
    <w:name w:val="Hyperlink"/>
    <w:basedOn w:val="a0"/>
    <w:uiPriority w:val="99"/>
    <w:unhideWhenUsed/>
    <w:qFormat/>
    <w:rsid w:val="00C4744C"/>
    <w:rPr>
      <w:color w:val="0563C1" w:themeColor="hyperlink"/>
      <w:u w:val="single"/>
    </w:rPr>
  </w:style>
  <w:style w:type="paragraph" w:styleId="a5">
    <w:name w:val="header"/>
    <w:basedOn w:val="a"/>
    <w:link w:val="a6"/>
    <w:uiPriority w:val="99"/>
    <w:unhideWhenUsed/>
    <w:rsid w:val="00F40A0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40A0D"/>
    <w:rPr>
      <w:sz w:val="18"/>
      <w:szCs w:val="18"/>
    </w:rPr>
  </w:style>
  <w:style w:type="paragraph" w:styleId="a7">
    <w:name w:val="footer"/>
    <w:basedOn w:val="a"/>
    <w:link w:val="a8"/>
    <w:uiPriority w:val="99"/>
    <w:unhideWhenUsed/>
    <w:rsid w:val="00F40A0D"/>
    <w:pPr>
      <w:tabs>
        <w:tab w:val="center" w:pos="4153"/>
        <w:tab w:val="right" w:pos="8306"/>
      </w:tabs>
      <w:snapToGrid w:val="0"/>
      <w:jc w:val="left"/>
    </w:pPr>
    <w:rPr>
      <w:sz w:val="18"/>
      <w:szCs w:val="18"/>
    </w:rPr>
  </w:style>
  <w:style w:type="character" w:customStyle="1" w:styleId="a8">
    <w:name w:val="页脚 字符"/>
    <w:basedOn w:val="a0"/>
    <w:link w:val="a7"/>
    <w:uiPriority w:val="99"/>
    <w:rsid w:val="00F40A0D"/>
    <w:rPr>
      <w:sz w:val="18"/>
      <w:szCs w:val="18"/>
    </w:rPr>
  </w:style>
  <w:style w:type="paragraph" w:styleId="a9">
    <w:name w:val="Balloon Text"/>
    <w:basedOn w:val="a"/>
    <w:link w:val="aa"/>
    <w:uiPriority w:val="99"/>
    <w:semiHidden/>
    <w:unhideWhenUsed/>
    <w:rsid w:val="00F40A0D"/>
    <w:rPr>
      <w:sz w:val="18"/>
      <w:szCs w:val="18"/>
    </w:rPr>
  </w:style>
  <w:style w:type="character" w:customStyle="1" w:styleId="aa">
    <w:name w:val="批注框文本 字符"/>
    <w:basedOn w:val="a0"/>
    <w:link w:val="a9"/>
    <w:uiPriority w:val="99"/>
    <w:semiHidden/>
    <w:rsid w:val="00F40A0D"/>
    <w:rPr>
      <w:sz w:val="18"/>
      <w:szCs w:val="18"/>
    </w:rPr>
  </w:style>
  <w:style w:type="character" w:styleId="ab">
    <w:name w:val="annotation reference"/>
    <w:basedOn w:val="a0"/>
    <w:uiPriority w:val="99"/>
    <w:semiHidden/>
    <w:unhideWhenUsed/>
    <w:rsid w:val="00F40A0D"/>
    <w:rPr>
      <w:sz w:val="21"/>
      <w:szCs w:val="21"/>
    </w:rPr>
  </w:style>
  <w:style w:type="paragraph" w:styleId="ac">
    <w:name w:val="annotation text"/>
    <w:basedOn w:val="a"/>
    <w:link w:val="ad"/>
    <w:uiPriority w:val="99"/>
    <w:semiHidden/>
    <w:unhideWhenUsed/>
    <w:rsid w:val="00F40A0D"/>
    <w:pPr>
      <w:jc w:val="left"/>
    </w:pPr>
  </w:style>
  <w:style w:type="character" w:customStyle="1" w:styleId="ad">
    <w:name w:val="批注文字 字符"/>
    <w:basedOn w:val="a0"/>
    <w:link w:val="ac"/>
    <w:uiPriority w:val="99"/>
    <w:semiHidden/>
    <w:rsid w:val="00F40A0D"/>
  </w:style>
  <w:style w:type="table" w:styleId="ae">
    <w:name w:val="Table Grid"/>
    <w:basedOn w:val="a1"/>
    <w:uiPriority w:val="39"/>
    <w:rsid w:val="00743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0"/>
    <w:uiPriority w:val="99"/>
    <w:semiHidden/>
    <w:unhideWhenUsed/>
    <w:rsid w:val="00C12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llzhang_thu@163.com" TargetMode="External"/><Relationship Id="rId13" Type="http://schemas.openxmlformats.org/officeDocument/2006/relationships/hyperlink" Target="mailto:qiandi@tsinghua.edu.cn" TargetMode="External"/><Relationship Id="rId3" Type="http://schemas.openxmlformats.org/officeDocument/2006/relationships/settings" Target="settings.xml"/><Relationship Id="rId7" Type="http://schemas.openxmlformats.org/officeDocument/2006/relationships/hyperlink" Target="mailto:yao-zhan19@mails.tsinghua.edu.cn" TargetMode="External"/><Relationship Id="rId12" Type="http://schemas.openxmlformats.org/officeDocument/2006/relationships/hyperlink" Target="mailto:klm20@mails.tsinghua.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gan@ualberta.c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axd@tsinghua.edu.cn" TargetMode="External"/><Relationship Id="rId4" Type="http://schemas.openxmlformats.org/officeDocument/2006/relationships/webSettings" Target="webSettings.xml"/><Relationship Id="rId9" Type="http://schemas.openxmlformats.org/officeDocument/2006/relationships/hyperlink" Target="mailto:fyy19@mails.tsinghua.edu.cn" TargetMode="External"/><Relationship Id="rId14" Type="http://schemas.openxmlformats.org/officeDocument/2006/relationships/hyperlink" Target="mailto:maxd@tsinghu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7C853-6A65-4833-BF85-391EA2BF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8754</Words>
  <Characters>49901</Characters>
  <Application>Microsoft Office Word</Application>
  <DocSecurity>0</DocSecurity>
  <Lines>415</Lines>
  <Paragraphs>117</Paragraphs>
  <ScaleCrop>false</ScaleCrop>
  <Company/>
  <LinksUpToDate>false</LinksUpToDate>
  <CharactersWithSpaces>58538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zhang1yao9@outlook.com</dc:creator>
  <cp:keywords/>
  <dc:description/>
  <cp:lastModifiedBy>zhang1yao9@outlook.com</cp:lastModifiedBy>
  <cp:revision>22</cp:revision>
  <dcterms:created xsi:type="dcterms:W3CDTF">2020-10-12T07:22:00Z</dcterms:created>
  <dcterms:modified xsi:type="dcterms:W3CDTF">2020-11-20T02:52:00Z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zotero-version="5.0.93"&gt;&lt;session id="7XI6qlja"/&gt;&lt;style id="http://www.zotero.org/styles/medicine-and-science-in-sports-and-exercise" hasBibliography="1" bibliographyStyleHasBeenSet="1"/&gt;&lt;prefs&gt;&lt;pref name="fieldType" value="Field"/&gt;&lt;</vt:lpwstr>
  </property>
  <property fmtid="{D5CDD505-2E9C-101B-9397-08002B2CF9AE}" pid="3" name="ZOTERO_PREF_2">
    <vt:lpwstr>/prefs&gt;&lt;/data&gt;</vt:lpwstr>
  </property>
</Properties>
</file>